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80F0C" w14:paraId="5461FBC2" w14:textId="77777777" w:rsidTr="00345119">
        <w:tc>
          <w:tcPr>
            <w:tcW w:w="9576" w:type="dxa"/>
            <w:noWrap/>
          </w:tcPr>
          <w:p w14:paraId="17F60672" w14:textId="77777777" w:rsidR="008423E4" w:rsidRPr="0022177D" w:rsidRDefault="00A83A22" w:rsidP="00C70FE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043218" w14:textId="77777777" w:rsidR="008423E4" w:rsidRPr="0022177D" w:rsidRDefault="008423E4" w:rsidP="00C70FE9">
      <w:pPr>
        <w:jc w:val="center"/>
      </w:pPr>
    </w:p>
    <w:p w14:paraId="12029CC9" w14:textId="77777777" w:rsidR="008423E4" w:rsidRPr="00B31F0E" w:rsidRDefault="008423E4" w:rsidP="00C70FE9"/>
    <w:p w14:paraId="09458B3D" w14:textId="77777777" w:rsidR="008423E4" w:rsidRPr="00742794" w:rsidRDefault="008423E4" w:rsidP="00C70FE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0F0C" w14:paraId="024BF301" w14:textId="77777777" w:rsidTr="00345119">
        <w:tc>
          <w:tcPr>
            <w:tcW w:w="9576" w:type="dxa"/>
          </w:tcPr>
          <w:p w14:paraId="4BFB49D3" w14:textId="7CC4243F" w:rsidR="008423E4" w:rsidRPr="00861995" w:rsidRDefault="00A83A22" w:rsidP="00C70FE9">
            <w:pPr>
              <w:jc w:val="right"/>
            </w:pPr>
            <w:r>
              <w:t>H.B. 2534</w:t>
            </w:r>
          </w:p>
        </w:tc>
      </w:tr>
      <w:tr w:rsidR="00C80F0C" w14:paraId="0624B21E" w14:textId="77777777" w:rsidTr="00345119">
        <w:tc>
          <w:tcPr>
            <w:tcW w:w="9576" w:type="dxa"/>
          </w:tcPr>
          <w:p w14:paraId="36B62E8D" w14:textId="4B0620F0" w:rsidR="008423E4" w:rsidRPr="00861995" w:rsidRDefault="00A83A22" w:rsidP="00CC1643">
            <w:pPr>
              <w:jc w:val="right"/>
            </w:pPr>
            <w:r>
              <w:t xml:space="preserve">By: </w:t>
            </w:r>
            <w:r w:rsidR="00CC1643">
              <w:t>Clardy</w:t>
            </w:r>
          </w:p>
        </w:tc>
      </w:tr>
      <w:tr w:rsidR="00C80F0C" w14:paraId="3598A534" w14:textId="77777777" w:rsidTr="00345119">
        <w:tc>
          <w:tcPr>
            <w:tcW w:w="9576" w:type="dxa"/>
          </w:tcPr>
          <w:p w14:paraId="48D1D9AD" w14:textId="29E2B754" w:rsidR="008423E4" w:rsidRPr="00861995" w:rsidRDefault="00A83A22" w:rsidP="00C70FE9">
            <w:pPr>
              <w:jc w:val="right"/>
            </w:pPr>
            <w:r>
              <w:t>Insurance</w:t>
            </w:r>
          </w:p>
        </w:tc>
      </w:tr>
      <w:tr w:rsidR="00C80F0C" w14:paraId="62D6422C" w14:textId="77777777" w:rsidTr="00345119">
        <w:tc>
          <w:tcPr>
            <w:tcW w:w="9576" w:type="dxa"/>
          </w:tcPr>
          <w:p w14:paraId="3C06902F" w14:textId="5FF5C77C" w:rsidR="008423E4" w:rsidRDefault="00A83A22" w:rsidP="00C70FE9">
            <w:pPr>
              <w:jc w:val="right"/>
            </w:pPr>
            <w:r>
              <w:t>Committee Report (Unamended)</w:t>
            </w:r>
          </w:p>
        </w:tc>
      </w:tr>
    </w:tbl>
    <w:p w14:paraId="50B58FCA" w14:textId="77777777" w:rsidR="008423E4" w:rsidRDefault="008423E4" w:rsidP="00C70FE9">
      <w:pPr>
        <w:tabs>
          <w:tab w:val="right" w:pos="9360"/>
        </w:tabs>
      </w:pPr>
    </w:p>
    <w:p w14:paraId="605A113F" w14:textId="77777777" w:rsidR="008423E4" w:rsidRDefault="008423E4" w:rsidP="00C70FE9"/>
    <w:p w14:paraId="7A54880F" w14:textId="77777777" w:rsidR="008423E4" w:rsidRDefault="008423E4" w:rsidP="00C70FE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80F0C" w14:paraId="7AC11172" w14:textId="77777777" w:rsidTr="00345119">
        <w:tc>
          <w:tcPr>
            <w:tcW w:w="9576" w:type="dxa"/>
          </w:tcPr>
          <w:p w14:paraId="17F4900D" w14:textId="77777777" w:rsidR="008423E4" w:rsidRPr="00A8133F" w:rsidRDefault="00A83A22" w:rsidP="00C70F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470C14" w14:textId="77777777" w:rsidR="008423E4" w:rsidRDefault="008423E4" w:rsidP="00C70FE9"/>
          <w:p w14:paraId="747010CA" w14:textId="287D324B" w:rsidR="008423E4" w:rsidRDefault="00A83A22" w:rsidP="00C70FE9">
            <w:pPr>
              <w:pStyle w:val="Header"/>
              <w:jc w:val="both"/>
            </w:pPr>
            <w:r>
              <w:t>L</w:t>
            </w:r>
            <w:r w:rsidR="00987DE1">
              <w:t>oss statement</w:t>
            </w:r>
            <w:r>
              <w:t>s</w:t>
            </w:r>
            <w:r w:rsidR="00987DE1">
              <w:t xml:space="preserve"> or estimate</w:t>
            </w:r>
            <w:r>
              <w:t>s</w:t>
            </w:r>
            <w:r w:rsidR="00987DE1">
              <w:t xml:space="preserve"> th</w:t>
            </w:r>
            <w:r w:rsidR="004E1D35">
              <w:t xml:space="preserve">at </w:t>
            </w:r>
            <w:r>
              <w:t xml:space="preserve">are too small </w:t>
            </w:r>
            <w:r w:rsidR="009B5B27">
              <w:t>may</w:t>
            </w:r>
            <w:r w:rsidR="004E1D35">
              <w:t xml:space="preserve"> </w:t>
            </w:r>
            <w:r>
              <w:t xml:space="preserve">result in a vehicle that is </w:t>
            </w:r>
            <w:r w:rsidR="004E1D35">
              <w:t>unsafely repair</w:t>
            </w:r>
            <w:r>
              <w:t>ed</w:t>
            </w:r>
            <w:r w:rsidR="00987DE1">
              <w:t xml:space="preserve">. When a dispute arises over the proper repair plan or loss settlement, a policy with limited or restricted appraisal rights </w:t>
            </w:r>
            <w:r w:rsidR="009B5B27">
              <w:t xml:space="preserve">can leave </w:t>
            </w:r>
            <w:r w:rsidR="00987DE1">
              <w:t xml:space="preserve">the policy holder </w:t>
            </w:r>
            <w:r w:rsidR="009B5B27">
              <w:t>with an unsafe vehicle and expensive losses</w:t>
            </w:r>
            <w:r w:rsidR="00987DE1">
              <w:t>.</w:t>
            </w:r>
            <w:r w:rsidR="004E1D35">
              <w:t xml:space="preserve"> H.B. 2534</w:t>
            </w:r>
            <w:r w:rsidR="006E355D">
              <w:t xml:space="preserve"> </w:t>
            </w:r>
            <w:r w:rsidR="004E1D35">
              <w:t>seeks to</w:t>
            </w:r>
            <w:r w:rsidR="006E355D">
              <w:t xml:space="preserve"> </w:t>
            </w:r>
            <w:r w:rsidR="009B5B27">
              <w:t xml:space="preserve">address this issue by giving </w:t>
            </w:r>
            <w:r w:rsidR="006E355D">
              <w:t>Texan</w:t>
            </w:r>
            <w:r w:rsidR="009B5B27">
              <w:t xml:space="preserve"> insureds</w:t>
            </w:r>
            <w:r w:rsidR="006E355D">
              <w:t xml:space="preserve"> the right to </w:t>
            </w:r>
            <w:r w:rsidR="009B5B27">
              <w:t>challenge an insurance company if the insured and insurer do not agree on the amount of the loss.</w:t>
            </w:r>
          </w:p>
          <w:p w14:paraId="0A41009C" w14:textId="77777777" w:rsidR="008423E4" w:rsidRPr="00E26B13" w:rsidRDefault="008423E4" w:rsidP="00C70FE9">
            <w:pPr>
              <w:rPr>
                <w:b/>
              </w:rPr>
            </w:pPr>
          </w:p>
        </w:tc>
      </w:tr>
      <w:tr w:rsidR="00C80F0C" w14:paraId="7CF2BBF5" w14:textId="77777777" w:rsidTr="00345119">
        <w:tc>
          <w:tcPr>
            <w:tcW w:w="9576" w:type="dxa"/>
          </w:tcPr>
          <w:p w14:paraId="5BC74C22" w14:textId="77777777" w:rsidR="0017725B" w:rsidRDefault="00A83A22" w:rsidP="00C70F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C088CD" w14:textId="77777777" w:rsidR="0017725B" w:rsidRDefault="0017725B" w:rsidP="00C70FE9">
            <w:pPr>
              <w:rPr>
                <w:b/>
                <w:u w:val="single"/>
              </w:rPr>
            </w:pPr>
          </w:p>
          <w:p w14:paraId="004CC8CA" w14:textId="77777777" w:rsidR="006E355D" w:rsidRPr="006E355D" w:rsidRDefault="00A83A22" w:rsidP="00C70FE9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14:paraId="1CBF9639" w14:textId="77777777" w:rsidR="0017725B" w:rsidRPr="0017725B" w:rsidRDefault="0017725B" w:rsidP="00C70FE9">
            <w:pPr>
              <w:rPr>
                <w:b/>
                <w:u w:val="single"/>
              </w:rPr>
            </w:pPr>
          </w:p>
        </w:tc>
      </w:tr>
      <w:tr w:rsidR="00C80F0C" w14:paraId="45F3BED9" w14:textId="77777777" w:rsidTr="00345119">
        <w:tc>
          <w:tcPr>
            <w:tcW w:w="9576" w:type="dxa"/>
          </w:tcPr>
          <w:p w14:paraId="07219786" w14:textId="77777777" w:rsidR="008423E4" w:rsidRPr="00A8133F" w:rsidRDefault="00A83A22" w:rsidP="00C70F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BEAA5A" w14:textId="77777777" w:rsidR="008423E4" w:rsidRDefault="008423E4" w:rsidP="00C70FE9"/>
          <w:p w14:paraId="6399FAC9" w14:textId="77777777" w:rsidR="006E355D" w:rsidRDefault="00A83A22" w:rsidP="00C70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14:paraId="2536E4C9" w14:textId="77777777" w:rsidR="008423E4" w:rsidRPr="00E21FDC" w:rsidRDefault="008423E4" w:rsidP="00C70FE9">
            <w:pPr>
              <w:rPr>
                <w:b/>
              </w:rPr>
            </w:pPr>
          </w:p>
        </w:tc>
      </w:tr>
      <w:tr w:rsidR="00C80F0C" w14:paraId="54B47F11" w14:textId="77777777" w:rsidTr="00345119">
        <w:tc>
          <w:tcPr>
            <w:tcW w:w="9576" w:type="dxa"/>
          </w:tcPr>
          <w:p w14:paraId="32ED5DC7" w14:textId="77777777" w:rsidR="008423E4" w:rsidRPr="00A8133F" w:rsidRDefault="00A83A22" w:rsidP="00C70F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33780E" w14:textId="77777777" w:rsidR="008423E4" w:rsidRDefault="008423E4" w:rsidP="00C70FE9"/>
          <w:p w14:paraId="73DA1685" w14:textId="07F8B9A4" w:rsidR="00201B54" w:rsidRDefault="00A83A22" w:rsidP="00C70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2534 amends the Insurance Code to require a personal automobile insurance policy to contain an appraisal procedure that complies with the bill's p</w:t>
            </w:r>
            <w:r>
              <w:t>rovisions. The bill authorizes an insurer or the named insured to demand an appraisal not later than the 90th day after the date a proof of loss is filed with the insurer if the insurer and insured do not agree on the amount of the loss. The bill, with res</w:t>
            </w:r>
            <w:r>
              <w:t xml:space="preserve">pect to the appraisal, provides the following:  </w:t>
            </w:r>
          </w:p>
          <w:p w14:paraId="50692A6F" w14:textId="6AB70E9C" w:rsidR="0014398D" w:rsidRDefault="00A83A22" w:rsidP="00C70F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each party must appoint a competent appraiser </w:t>
            </w:r>
            <w:r w:rsidR="006434A5">
              <w:t>and notify the other party of that appraiser's identity not later than the 15th day after the date an appraisal is demanded</w:t>
            </w:r>
            <w:r>
              <w:t>;</w:t>
            </w:r>
          </w:p>
          <w:p w14:paraId="180D1C88" w14:textId="0BB8590E" w:rsidR="0014398D" w:rsidRDefault="00A83A22" w:rsidP="00C70F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6434A5">
              <w:t>he appraisers appointed by the parties must determine the amount of loss</w:t>
            </w:r>
            <w:r>
              <w:t>;</w:t>
            </w:r>
          </w:p>
          <w:p w14:paraId="2EA823ED" w14:textId="571687A3" w:rsidR="0014398D" w:rsidRDefault="00A83A22" w:rsidP="00C70F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appraisers must select a qualified umpire and the appraisers and umpire must determine the amount of loss if the appraisers fail to agree;</w:t>
            </w:r>
          </w:p>
          <w:p w14:paraId="365C6950" w14:textId="4BB27D9E" w:rsidR="0014398D" w:rsidRDefault="00A83A22" w:rsidP="00C70F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determination of the amount of loss agreed to by both appraisers or by</w:t>
            </w:r>
            <w:r>
              <w:t xml:space="preserve"> one appraiser and the umpire is binding on both parties; and</w:t>
            </w:r>
          </w:p>
          <w:p w14:paraId="6C9185FA" w14:textId="074E4C45" w:rsidR="009C36CD" w:rsidRDefault="00A83A22" w:rsidP="00C70F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A05F8D">
              <w:t xml:space="preserve">insurer or the named insured </w:t>
            </w:r>
            <w:r w:rsidR="0014398D">
              <w:t>may</w:t>
            </w:r>
            <w:r>
              <w:t xml:space="preserve"> </w:t>
            </w:r>
            <w:r w:rsidRPr="00A05F8D">
              <w:t>request that a court in the county in which the named insured resides select the umpire</w:t>
            </w:r>
            <w:r>
              <w:t xml:space="preserve"> </w:t>
            </w:r>
            <w:r w:rsidR="004E1D35">
              <w:t xml:space="preserve">if </w:t>
            </w:r>
            <w:r w:rsidR="004E1D35" w:rsidRPr="00A05F8D">
              <w:t>the</w:t>
            </w:r>
            <w:r w:rsidRPr="00A05F8D">
              <w:t xml:space="preserve"> two appraisers are unable to agree on an umpire on or before t</w:t>
            </w:r>
            <w:r w:rsidRPr="00A05F8D">
              <w:t>he 15th day after the date the appraisers determine an umpire is needed</w:t>
            </w:r>
            <w:r>
              <w:t>.</w:t>
            </w:r>
          </w:p>
          <w:p w14:paraId="25CDC04F" w14:textId="77777777" w:rsidR="006434A5" w:rsidRDefault="006434A5" w:rsidP="00C70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574D2C" w14:textId="4A3406F4" w:rsidR="006434A5" w:rsidRDefault="00A83A22" w:rsidP="00C70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2534 </w:t>
            </w:r>
            <w:r w:rsidR="00A05F8D">
              <w:t>establishes that each party is responsible for the party's appraiser's fees and expenses</w:t>
            </w:r>
            <w:r w:rsidR="00987DE1">
              <w:t xml:space="preserve"> and provides </w:t>
            </w:r>
            <w:r w:rsidR="00D90854">
              <w:t xml:space="preserve">conditions under which each </w:t>
            </w:r>
            <w:r w:rsidR="00987DE1">
              <w:t>party</w:t>
            </w:r>
            <w:r w:rsidR="00D90854">
              <w:t xml:space="preserve"> is</w:t>
            </w:r>
            <w:r w:rsidR="00987DE1">
              <w:t xml:space="preserve"> responsible for refunding</w:t>
            </w:r>
            <w:r w:rsidR="00D90854">
              <w:t xml:space="preserve"> certain fees and expenses related to</w:t>
            </w:r>
            <w:r w:rsidR="00987DE1">
              <w:t xml:space="preserve"> the other party</w:t>
            </w:r>
            <w:r w:rsidR="00D90854">
              <w:t>'s</w:t>
            </w:r>
            <w:r w:rsidR="00987DE1">
              <w:t xml:space="preserve"> apprais</w:t>
            </w:r>
            <w:r w:rsidR="00D90854">
              <w:t>er</w:t>
            </w:r>
            <w:r w:rsidR="00987DE1">
              <w:t>.</w:t>
            </w:r>
            <w:r w:rsidR="00A05F8D">
              <w:t xml:space="preserve"> </w:t>
            </w:r>
            <w:r w:rsidR="00CB7179">
              <w:t xml:space="preserve">The bill establishes that all other appraisal expenses, including umpire expenses, are shared evenly between the parties. </w:t>
            </w:r>
          </w:p>
          <w:p w14:paraId="6D386CD8" w14:textId="77777777" w:rsidR="00CB7179" w:rsidRDefault="00CB7179" w:rsidP="00C70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B48ED6" w14:textId="41BFBB12" w:rsidR="00CB7179" w:rsidRPr="009C36CD" w:rsidRDefault="00A83A22" w:rsidP="00C70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2534 establishes that an insurer and a named insured do not waive an</w:t>
            </w:r>
            <w:r>
              <w:t xml:space="preserve">y rights under the policy that is the subject of the appraisal by demanding an appraisal. The bill applies to </w:t>
            </w:r>
            <w:r w:rsidRPr="00CB7179">
              <w:t xml:space="preserve">an insurer writing automobile insurance in </w:t>
            </w:r>
            <w:r>
              <w:t>Texas</w:t>
            </w:r>
            <w:r w:rsidRPr="00CB7179">
              <w:t>.</w:t>
            </w:r>
            <w:r>
              <w:t xml:space="preserve"> The bill applies to an insurance policy that is delivered, issued for delivery, or renewed on or after January 1, 2022.</w:t>
            </w:r>
          </w:p>
          <w:p w14:paraId="31D85EAA" w14:textId="77777777" w:rsidR="008423E4" w:rsidRPr="00835628" w:rsidRDefault="008423E4" w:rsidP="00C70FE9">
            <w:pPr>
              <w:rPr>
                <w:b/>
              </w:rPr>
            </w:pPr>
          </w:p>
        </w:tc>
      </w:tr>
      <w:tr w:rsidR="00C80F0C" w14:paraId="75E3F7D1" w14:textId="77777777" w:rsidTr="00345119">
        <w:tc>
          <w:tcPr>
            <w:tcW w:w="9576" w:type="dxa"/>
          </w:tcPr>
          <w:p w14:paraId="2B7B8AD1" w14:textId="77777777" w:rsidR="008423E4" w:rsidRPr="00A8133F" w:rsidRDefault="00A83A22" w:rsidP="00C70F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892D06" w14:textId="77777777" w:rsidR="008423E4" w:rsidRDefault="008423E4" w:rsidP="00C70FE9"/>
          <w:p w14:paraId="52910264" w14:textId="77777777" w:rsidR="008423E4" w:rsidRPr="003624F2" w:rsidRDefault="00A83A22" w:rsidP="00C70F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158D8C" w14:textId="77777777" w:rsidR="008423E4" w:rsidRPr="00233FDB" w:rsidRDefault="008423E4" w:rsidP="00C70FE9">
            <w:pPr>
              <w:rPr>
                <w:b/>
              </w:rPr>
            </w:pPr>
          </w:p>
        </w:tc>
      </w:tr>
    </w:tbl>
    <w:p w14:paraId="45A70376" w14:textId="77777777" w:rsidR="008423E4" w:rsidRPr="00BE0E75" w:rsidRDefault="008423E4" w:rsidP="00C70FE9">
      <w:pPr>
        <w:jc w:val="both"/>
        <w:rPr>
          <w:rFonts w:ascii="Arial" w:hAnsi="Arial"/>
          <w:sz w:val="16"/>
          <w:szCs w:val="16"/>
        </w:rPr>
      </w:pPr>
    </w:p>
    <w:p w14:paraId="333CAD7E" w14:textId="77777777" w:rsidR="004108C3" w:rsidRPr="008423E4" w:rsidRDefault="004108C3" w:rsidP="00C70FE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C855" w14:textId="77777777" w:rsidR="00000000" w:rsidRDefault="00A83A22">
      <w:r>
        <w:separator/>
      </w:r>
    </w:p>
  </w:endnote>
  <w:endnote w:type="continuationSeparator" w:id="0">
    <w:p w14:paraId="17CD2CFA" w14:textId="77777777" w:rsidR="00000000" w:rsidRDefault="00A8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57D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0F0C" w14:paraId="276D884B" w14:textId="77777777" w:rsidTr="009C1E9A">
      <w:trPr>
        <w:cantSplit/>
      </w:trPr>
      <w:tc>
        <w:tcPr>
          <w:tcW w:w="0" w:type="pct"/>
        </w:tcPr>
        <w:p w14:paraId="7AC237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D3F7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BD8ED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1EFC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DA94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0F0C" w14:paraId="55CB0DD0" w14:textId="77777777" w:rsidTr="009C1E9A">
      <w:trPr>
        <w:cantSplit/>
      </w:trPr>
      <w:tc>
        <w:tcPr>
          <w:tcW w:w="0" w:type="pct"/>
        </w:tcPr>
        <w:p w14:paraId="30125E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B17991" w14:textId="2412506B" w:rsidR="00EC379B" w:rsidRPr="009C1E9A" w:rsidRDefault="00A83A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24576</w:t>
          </w:r>
        </w:p>
      </w:tc>
      <w:tc>
        <w:tcPr>
          <w:tcW w:w="2453" w:type="pct"/>
        </w:tcPr>
        <w:p w14:paraId="72919341" w14:textId="5751E316" w:rsidR="00EC379B" w:rsidRDefault="00A83A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94CC4">
            <w:t>21.124.242</w:t>
          </w:r>
          <w:r>
            <w:fldChar w:fldCharType="end"/>
          </w:r>
        </w:p>
      </w:tc>
    </w:tr>
    <w:tr w:rsidR="00C80F0C" w14:paraId="3DE52A16" w14:textId="77777777" w:rsidTr="009C1E9A">
      <w:trPr>
        <w:cantSplit/>
      </w:trPr>
      <w:tc>
        <w:tcPr>
          <w:tcW w:w="0" w:type="pct"/>
        </w:tcPr>
        <w:p w14:paraId="69DDBF4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00C58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7A70D6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BB2E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0F0C" w14:paraId="34BF874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8C6B21" w14:textId="1AC8BC5F" w:rsidR="00EC379B" w:rsidRDefault="00A83A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94CC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4F6A2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2B673C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FCD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E9F0" w14:textId="77777777" w:rsidR="00000000" w:rsidRDefault="00A83A22">
      <w:r>
        <w:separator/>
      </w:r>
    </w:p>
  </w:footnote>
  <w:footnote w:type="continuationSeparator" w:id="0">
    <w:p w14:paraId="3354E856" w14:textId="77777777" w:rsidR="00000000" w:rsidRDefault="00A8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BBA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FB0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6AF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50B2"/>
    <w:multiLevelType w:val="hybridMultilevel"/>
    <w:tmpl w:val="1EDC69AA"/>
    <w:lvl w:ilvl="0" w:tplc="F61E8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A8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E3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6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AA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42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47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1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09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98D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B5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49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E4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763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D8E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D35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B7A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4A5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CC4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55D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585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E75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DE1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B27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F8D"/>
    <w:rsid w:val="00A07689"/>
    <w:rsid w:val="00A07906"/>
    <w:rsid w:val="00A10908"/>
    <w:rsid w:val="00A10E9D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BE9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A22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866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A50"/>
    <w:rsid w:val="00BB4DE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FE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F0C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B59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179"/>
    <w:rsid w:val="00CB74CB"/>
    <w:rsid w:val="00CB7E04"/>
    <w:rsid w:val="00CC1643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854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0B8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2F3E0A-D3F4-44AF-B3B3-8FDA8FC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34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4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4A5"/>
    <w:rPr>
      <w:b/>
      <w:bCs/>
    </w:rPr>
  </w:style>
  <w:style w:type="paragraph" w:styleId="Revision">
    <w:name w:val="Revision"/>
    <w:hidden/>
    <w:uiPriority w:val="99"/>
    <w:semiHidden/>
    <w:rsid w:val="00643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2552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HB02534 (Committee Report (Unamended))</vt:lpstr>
    </vt:vector>
  </TitlesOfParts>
  <Company>State of Texas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24576</dc:subject>
  <dc:creator>State of Texas</dc:creator>
  <dc:description>HB 2534 by Clardy-(H)Insurance</dc:description>
  <cp:lastModifiedBy>Thomas Weis</cp:lastModifiedBy>
  <cp:revision>2</cp:revision>
  <cp:lastPrinted>2003-11-26T17:21:00Z</cp:lastPrinted>
  <dcterms:created xsi:type="dcterms:W3CDTF">2021-05-04T23:47:00Z</dcterms:created>
  <dcterms:modified xsi:type="dcterms:W3CDTF">2021-05-04T23:47:00Z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21.124.242</vt:lpwstr>
  </property>
</Properties>
</file>