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4610" w14:paraId="79B53283" w14:textId="77777777" w:rsidTr="00345119">
        <w:tc>
          <w:tcPr>
            <w:tcW w:w="9576" w:type="dxa"/>
            <w:noWrap/>
          </w:tcPr>
          <w:p w14:paraId="308BAE94" w14:textId="77777777" w:rsidR="008423E4" w:rsidRPr="0022177D" w:rsidRDefault="00F53B35" w:rsidP="00887AC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75FC81F" w14:textId="77777777" w:rsidR="008423E4" w:rsidRPr="0022177D" w:rsidRDefault="008423E4" w:rsidP="00887ACC">
      <w:pPr>
        <w:jc w:val="center"/>
      </w:pPr>
    </w:p>
    <w:p w14:paraId="708D22E7" w14:textId="77777777" w:rsidR="008423E4" w:rsidRPr="00B31F0E" w:rsidRDefault="008423E4" w:rsidP="00887ACC"/>
    <w:p w14:paraId="7180E95B" w14:textId="77777777" w:rsidR="008423E4" w:rsidRPr="00742794" w:rsidRDefault="008423E4" w:rsidP="00887A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4610" w14:paraId="093D8393" w14:textId="77777777" w:rsidTr="00345119">
        <w:tc>
          <w:tcPr>
            <w:tcW w:w="9576" w:type="dxa"/>
          </w:tcPr>
          <w:p w14:paraId="7985488F" w14:textId="4D793221" w:rsidR="008423E4" w:rsidRPr="00861995" w:rsidRDefault="00F53B35" w:rsidP="00887ACC">
            <w:pPr>
              <w:jc w:val="right"/>
            </w:pPr>
            <w:r>
              <w:t>H.B. 2542</w:t>
            </w:r>
          </w:p>
        </w:tc>
      </w:tr>
      <w:tr w:rsidR="005C4610" w14:paraId="04EF877C" w14:textId="77777777" w:rsidTr="00345119">
        <w:tc>
          <w:tcPr>
            <w:tcW w:w="9576" w:type="dxa"/>
          </w:tcPr>
          <w:p w14:paraId="17ED47FE" w14:textId="4B89CC03" w:rsidR="008423E4" w:rsidRPr="00861995" w:rsidRDefault="00F53B35" w:rsidP="00887ACC">
            <w:pPr>
              <w:jc w:val="right"/>
            </w:pPr>
            <w:r>
              <w:t xml:space="preserve">By: </w:t>
            </w:r>
            <w:r w:rsidR="004E48CD">
              <w:t>Rose</w:t>
            </w:r>
          </w:p>
        </w:tc>
      </w:tr>
      <w:tr w:rsidR="005C4610" w14:paraId="0AE1423C" w14:textId="77777777" w:rsidTr="00345119">
        <w:tc>
          <w:tcPr>
            <w:tcW w:w="9576" w:type="dxa"/>
          </w:tcPr>
          <w:p w14:paraId="742D59F7" w14:textId="21F66855" w:rsidR="008423E4" w:rsidRPr="00861995" w:rsidRDefault="00F53B35" w:rsidP="00887ACC">
            <w:pPr>
              <w:jc w:val="right"/>
            </w:pPr>
            <w:r>
              <w:t>Business &amp; Industry</w:t>
            </w:r>
          </w:p>
        </w:tc>
      </w:tr>
      <w:tr w:rsidR="005C4610" w14:paraId="3F657EA8" w14:textId="77777777" w:rsidTr="00345119">
        <w:tc>
          <w:tcPr>
            <w:tcW w:w="9576" w:type="dxa"/>
          </w:tcPr>
          <w:p w14:paraId="7EB6A1AE" w14:textId="308E3E43" w:rsidR="008423E4" w:rsidRDefault="00F53B35" w:rsidP="00887ACC">
            <w:pPr>
              <w:jc w:val="right"/>
            </w:pPr>
            <w:r>
              <w:t>Committee Report (Unamended)</w:t>
            </w:r>
          </w:p>
        </w:tc>
      </w:tr>
    </w:tbl>
    <w:p w14:paraId="33B8C2FB" w14:textId="77777777" w:rsidR="008423E4" w:rsidRDefault="008423E4" w:rsidP="00887ACC">
      <w:pPr>
        <w:tabs>
          <w:tab w:val="right" w:pos="9360"/>
        </w:tabs>
      </w:pPr>
    </w:p>
    <w:p w14:paraId="521CE9C1" w14:textId="77777777" w:rsidR="008423E4" w:rsidRDefault="008423E4" w:rsidP="00887ACC"/>
    <w:p w14:paraId="3A407166" w14:textId="77777777" w:rsidR="008423E4" w:rsidRDefault="008423E4" w:rsidP="00887A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4610" w14:paraId="11BCA2ED" w14:textId="77777777" w:rsidTr="00345119">
        <w:tc>
          <w:tcPr>
            <w:tcW w:w="9576" w:type="dxa"/>
          </w:tcPr>
          <w:p w14:paraId="554B1931" w14:textId="77777777" w:rsidR="008423E4" w:rsidRPr="00A8133F" w:rsidRDefault="00F53B35" w:rsidP="00887A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123D0D" w14:textId="77777777" w:rsidR="008423E4" w:rsidRDefault="008423E4" w:rsidP="00887ACC"/>
          <w:p w14:paraId="61CFE91F" w14:textId="5987ACA3" w:rsidR="004E48CD" w:rsidRDefault="00F53B35" w:rsidP="00887ACC">
            <w:pPr>
              <w:pStyle w:val="Header"/>
              <w:jc w:val="both"/>
            </w:pPr>
            <w:r>
              <w:t>Many Texans are barred from job opportunities due to past criminal history, which contributes to the recidivism and incarceration rate</w:t>
            </w:r>
            <w:r w:rsidR="00EB5CA1">
              <w:t>s</w:t>
            </w:r>
            <w:r>
              <w:t xml:space="preserve"> in the United States. </w:t>
            </w:r>
            <w:r w:rsidR="00D21D1E">
              <w:t>A</w:t>
            </w:r>
            <w:r>
              <w:t xml:space="preserve"> stigma </w:t>
            </w:r>
            <w:r w:rsidR="00D21D1E">
              <w:t xml:space="preserve">unfortunately </w:t>
            </w:r>
            <w:r>
              <w:t>exists for those who were formally incarcerated, regardless of how long ago the crime took place, how minor the infraction was, or how good of a fit the applicant might be for the potential role.</w:t>
            </w:r>
            <w:r w:rsidR="00F56FCF">
              <w:t xml:space="preserve"> This </w:t>
            </w:r>
            <w:r w:rsidR="00D7620E">
              <w:t xml:space="preserve">stigma </w:t>
            </w:r>
            <w:r w:rsidR="00F56FCF">
              <w:t xml:space="preserve">can prevent potentially great job candidates from being hired and can </w:t>
            </w:r>
            <w:r w:rsidR="00D7620E">
              <w:t>have a negative impact on</w:t>
            </w:r>
            <w:r w:rsidR="00F56FCF">
              <w:t xml:space="preserve"> </w:t>
            </w:r>
            <w:r w:rsidR="00A53360">
              <w:t>children and other family members</w:t>
            </w:r>
            <w:r w:rsidR="00D7620E">
              <w:t xml:space="preserve"> of individuals with criminal histories who are unable to work or are limited to jobs that do not allow educational or workforce development</w:t>
            </w:r>
            <w:r w:rsidR="00F56FCF">
              <w:t>.</w:t>
            </w:r>
            <w:r>
              <w:t xml:space="preserve"> Furthermore, it has been noted that many criminal background checks fail to distinguish between an arrest, charge, or conviction.</w:t>
            </w:r>
            <w:r w:rsidR="00321ADC">
              <w:t xml:space="preserve"> </w:t>
            </w:r>
            <w:r>
              <w:t xml:space="preserve">H.B. 2542 </w:t>
            </w:r>
            <w:r w:rsidR="00321ADC">
              <w:t>seeks to</w:t>
            </w:r>
            <w:r>
              <w:t xml:space="preserve"> provide all job applicants an opportunity </w:t>
            </w:r>
            <w:r w:rsidR="007C3E37">
              <w:t>for</w:t>
            </w:r>
            <w:r>
              <w:t xml:space="preserve"> fair employment by outlining employer criteria f</w:t>
            </w:r>
            <w:r>
              <w:t>or criminal history considerations in employment decisions.</w:t>
            </w:r>
          </w:p>
          <w:p w14:paraId="0C7C25A3" w14:textId="77777777" w:rsidR="008423E4" w:rsidRPr="00E26B13" w:rsidRDefault="008423E4" w:rsidP="00887ACC">
            <w:pPr>
              <w:rPr>
                <w:b/>
              </w:rPr>
            </w:pPr>
          </w:p>
        </w:tc>
      </w:tr>
      <w:tr w:rsidR="005C4610" w14:paraId="471AEE59" w14:textId="77777777" w:rsidTr="00345119">
        <w:tc>
          <w:tcPr>
            <w:tcW w:w="9576" w:type="dxa"/>
          </w:tcPr>
          <w:p w14:paraId="0CC3273B" w14:textId="77777777" w:rsidR="0017725B" w:rsidRDefault="00F53B35" w:rsidP="00887A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C4C0B3" w14:textId="77777777" w:rsidR="0017725B" w:rsidRDefault="0017725B" w:rsidP="00887ACC">
            <w:pPr>
              <w:rPr>
                <w:b/>
                <w:u w:val="single"/>
              </w:rPr>
            </w:pPr>
          </w:p>
          <w:p w14:paraId="58216AB1" w14:textId="77777777" w:rsidR="00FC63FC" w:rsidRPr="00FC63FC" w:rsidRDefault="00F53B35" w:rsidP="00887AC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</w:t>
            </w:r>
            <w:r>
              <w:t>es, or change the eligibility of a person for community supervision, parole, or mandatory supervision.</w:t>
            </w:r>
          </w:p>
          <w:p w14:paraId="1506F613" w14:textId="77777777" w:rsidR="0017725B" w:rsidRPr="0017725B" w:rsidRDefault="0017725B" w:rsidP="00887ACC">
            <w:pPr>
              <w:rPr>
                <w:b/>
                <w:u w:val="single"/>
              </w:rPr>
            </w:pPr>
          </w:p>
        </w:tc>
      </w:tr>
      <w:tr w:rsidR="005C4610" w14:paraId="3E0CDAA1" w14:textId="77777777" w:rsidTr="00345119">
        <w:tc>
          <w:tcPr>
            <w:tcW w:w="9576" w:type="dxa"/>
          </w:tcPr>
          <w:p w14:paraId="6F36B60E" w14:textId="77777777" w:rsidR="008423E4" w:rsidRPr="00A8133F" w:rsidRDefault="00F53B35" w:rsidP="00887A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F31C3E" w14:textId="77777777" w:rsidR="008423E4" w:rsidRDefault="008423E4" w:rsidP="00887ACC"/>
          <w:p w14:paraId="298F3265" w14:textId="77777777" w:rsidR="00FC63FC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FC63FC">
              <w:t xml:space="preserve">Texas Workforce Commission </w:t>
            </w:r>
            <w:r>
              <w:t xml:space="preserve">in SECTION 1 of </w:t>
            </w:r>
            <w:r>
              <w:t>this bill.</w:t>
            </w:r>
          </w:p>
          <w:p w14:paraId="758D052F" w14:textId="77777777" w:rsidR="008423E4" w:rsidRPr="00E21FDC" w:rsidRDefault="008423E4" w:rsidP="00887ACC">
            <w:pPr>
              <w:rPr>
                <w:b/>
              </w:rPr>
            </w:pPr>
          </w:p>
        </w:tc>
      </w:tr>
      <w:tr w:rsidR="005C4610" w14:paraId="73F26E2B" w14:textId="77777777" w:rsidTr="00345119">
        <w:tc>
          <w:tcPr>
            <w:tcW w:w="9576" w:type="dxa"/>
          </w:tcPr>
          <w:p w14:paraId="0E2C2463" w14:textId="77777777" w:rsidR="008423E4" w:rsidRPr="00A8133F" w:rsidRDefault="00F53B35" w:rsidP="00887A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7CB1E5" w14:textId="77777777" w:rsidR="008423E4" w:rsidRDefault="008423E4" w:rsidP="00887ACC"/>
          <w:p w14:paraId="3BFDDE12" w14:textId="25559B41" w:rsidR="0063579A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2542 amends the </w:t>
            </w:r>
            <w:r w:rsidRPr="00F14D29">
              <w:t>Labor Code</w:t>
            </w:r>
            <w:r>
              <w:t xml:space="preserve"> to </w:t>
            </w:r>
            <w:r w:rsidR="005C00D7">
              <w:t>authoriz</w:t>
            </w:r>
            <w:r>
              <w:t>e</w:t>
            </w:r>
            <w:r w:rsidR="005C00D7">
              <w:t xml:space="preserve"> </w:t>
            </w:r>
            <w:r w:rsidR="005C00D7" w:rsidRPr="005C00D7">
              <w:t>an employer to evaluate an individual's suitability for an employment position by performing an assessment of the individual's criminal history</w:t>
            </w:r>
            <w:r w:rsidR="005C00D7">
              <w:t xml:space="preserve"> that evaluates </w:t>
            </w:r>
            <w:r w:rsidR="005C00D7" w:rsidRPr="005C00D7">
              <w:t xml:space="preserve">the </w:t>
            </w:r>
            <w:r>
              <w:t>following:</w:t>
            </w:r>
          </w:p>
          <w:p w14:paraId="4DC696D5" w14:textId="6031E63A" w:rsidR="0063579A" w:rsidRDefault="00F53B35" w:rsidP="00887AC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5C00D7" w:rsidRPr="005C00D7">
              <w:t>nature and gravity of any offense in the criminal history</w:t>
            </w:r>
            <w:r>
              <w:t>;</w:t>
            </w:r>
          </w:p>
          <w:p w14:paraId="7D22D79E" w14:textId="598DB32C" w:rsidR="0063579A" w:rsidRDefault="00F53B35" w:rsidP="00887AC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5C00D7">
              <w:t xml:space="preserve">length of time that has elapsed since the date the offense </w:t>
            </w:r>
            <w:r w:rsidRPr="00EB5CA1">
              <w:t xml:space="preserve">was committed and </w:t>
            </w:r>
            <w:r w:rsidR="00EB5CA1">
              <w:t xml:space="preserve">since </w:t>
            </w:r>
            <w:r w:rsidRPr="00EB5CA1">
              <w:t>the date the individual fully discharged the individual's sentence;</w:t>
            </w:r>
            <w:r w:rsidR="00A37FD8">
              <w:t xml:space="preserve"> and</w:t>
            </w:r>
          </w:p>
          <w:p w14:paraId="4B16B514" w14:textId="2ABB5907" w:rsidR="0063579A" w:rsidRDefault="00F53B35" w:rsidP="00887AC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5C00D7">
              <w:t>nature and duties of the employment posit</w:t>
            </w:r>
            <w:r w:rsidRPr="005C00D7">
              <w:t>ion for which the individual has applied</w:t>
            </w:r>
            <w:r>
              <w:t>.</w:t>
            </w:r>
          </w:p>
          <w:p w14:paraId="3120C8D8" w14:textId="77777777" w:rsidR="000E116E" w:rsidRDefault="000E116E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4E83C0" w14:textId="0AE86B69" w:rsidR="005C00D7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2542</w:t>
            </w:r>
            <w:r w:rsidR="0063579A">
              <w:t xml:space="preserve"> prohibits an employer from d</w:t>
            </w:r>
            <w:r w:rsidR="0063579A" w:rsidRPr="00266214">
              <w:t>oing the followin</w:t>
            </w:r>
            <w:r w:rsidR="0063579A">
              <w:t>g:</w:t>
            </w:r>
          </w:p>
          <w:p w14:paraId="4E211E29" w14:textId="77777777" w:rsidR="002F329E" w:rsidRDefault="00F53B35" w:rsidP="00887A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publishing or causing to be published </w:t>
            </w:r>
            <w:r w:rsidRPr="002F329E">
              <w:t>information about an employment position that states or implies that an individual's criminal history automatically d</w:t>
            </w:r>
            <w:r w:rsidRPr="002F329E">
              <w:t>isqualifies the individual from consideration for the position</w:t>
            </w:r>
            <w:r>
              <w:t>;</w:t>
            </w:r>
          </w:p>
          <w:p w14:paraId="678EFAAF" w14:textId="77777777" w:rsidR="002F329E" w:rsidRDefault="00F53B35" w:rsidP="00887A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soliciting or otherwise inquiring about an individual's </w:t>
            </w:r>
            <w:r w:rsidRPr="002F329E">
              <w:t>criminal history in an application for an employment position</w:t>
            </w:r>
            <w:r>
              <w:t>;</w:t>
            </w:r>
          </w:p>
          <w:p w14:paraId="73340C13" w14:textId="77777777" w:rsidR="002F329E" w:rsidRDefault="00F53B35" w:rsidP="00887A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soliciting </w:t>
            </w:r>
            <w:r w:rsidRPr="002F329E">
              <w:t>criminal history record information about an individual or con</w:t>
            </w:r>
            <w:r w:rsidRPr="002F329E">
              <w:t>sider</w:t>
            </w:r>
            <w:r w:rsidR="005C00D7">
              <w:t>ing</w:t>
            </w:r>
            <w:r w:rsidRPr="002F329E">
              <w:t xml:space="preserve"> an individual's criminal </w:t>
            </w:r>
            <w:r w:rsidRPr="00CE0C46">
              <w:t>history unless the employer has first made a conditional employment offer to the individual</w:t>
            </w:r>
            <w:r w:rsidR="005C00D7" w:rsidRPr="00CE0C46">
              <w:t>;</w:t>
            </w:r>
          </w:p>
          <w:p w14:paraId="199027E5" w14:textId="77777777" w:rsidR="0022641C" w:rsidRDefault="00F53B35" w:rsidP="00887A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refusing </w:t>
            </w:r>
            <w:r w:rsidRPr="005C00D7">
              <w:t xml:space="preserve">to make a conditional employment offer to an individual solely because the individual did not provide criminal history </w:t>
            </w:r>
            <w:r w:rsidRPr="005C00D7">
              <w:t>record information before an offer was made</w:t>
            </w:r>
            <w:r>
              <w:t>; and</w:t>
            </w:r>
          </w:p>
          <w:p w14:paraId="2EC02273" w14:textId="0FA4A70A" w:rsidR="009A4BFF" w:rsidRDefault="00F53B35" w:rsidP="00887A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taking an adverse action </w:t>
            </w:r>
            <w:r w:rsidRPr="0022641C">
              <w:t xml:space="preserve">against an individual because of the individual's criminal history unless the employer has determined that the individual is unsuitable for the employment position based </w:t>
            </w:r>
            <w:r w:rsidRPr="00266214">
              <w:t>on the asses</w:t>
            </w:r>
            <w:r w:rsidRPr="00266214">
              <w:t>sment</w:t>
            </w:r>
            <w:r w:rsidR="00266214">
              <w:t xml:space="preserve"> authorized by the bill</w:t>
            </w:r>
            <w:r w:rsidRPr="00266214">
              <w:t>.</w:t>
            </w:r>
          </w:p>
          <w:p w14:paraId="5AAFC178" w14:textId="116D590A" w:rsidR="00CE0C46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defines, among other terms, an "adverse action" as </w:t>
            </w:r>
            <w:r w:rsidRPr="00AD0492">
              <w:t>a refusal to hire, a refusal to promote, or the revocation of an offer of employment or promotion.</w:t>
            </w:r>
          </w:p>
          <w:p w14:paraId="3E4A6C5E" w14:textId="6650C31E" w:rsidR="0022641C" w:rsidRDefault="0022641C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F65ED6" w14:textId="6CF08C71" w:rsidR="009A4BFF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2542</w:t>
            </w:r>
            <w:r w:rsidR="0063579A">
              <w:t xml:space="preserve"> authorizes an employer to explain to an applicant, in writing, the assessment system that the employer uses to consider criminal </w:t>
            </w:r>
            <w:r w:rsidR="0063579A" w:rsidRPr="000F0FFF">
              <w:t>history</w:t>
            </w:r>
            <w:r w:rsidRPr="000F0FFF">
              <w:t xml:space="preserve"> and</w:t>
            </w:r>
            <w:r>
              <w:t xml:space="preserve"> requires an employer who takes an adverse action against an individual based on the individual's criminal history to inform the individual in writing that the adverse acti</w:t>
            </w:r>
            <w:r>
              <w:t>on was based on the individual's criminal history</w:t>
            </w:r>
            <w:r w:rsidR="0063579A">
              <w:t xml:space="preserve">. </w:t>
            </w:r>
            <w:r>
              <w:t xml:space="preserve">The bill authorizes an </w:t>
            </w:r>
            <w:r w:rsidRPr="009A4BFF">
              <w:t>employment agency or labor organization</w:t>
            </w:r>
            <w:r>
              <w:t xml:space="preserve"> to </w:t>
            </w:r>
            <w:r w:rsidRPr="009A4BFF">
              <w:t xml:space="preserve">solicit criminal history record information about an individual and make an assessment of an individual's criminal history only after </w:t>
            </w:r>
            <w:r>
              <w:t>ident</w:t>
            </w:r>
            <w:r>
              <w:t xml:space="preserve">ifying </w:t>
            </w:r>
            <w:r w:rsidRPr="009A4BFF">
              <w:t>an employment position for which the agency or organization intends to classify or refer the individual</w:t>
            </w:r>
            <w:r>
              <w:t>.</w:t>
            </w:r>
          </w:p>
          <w:p w14:paraId="55A0EF0A" w14:textId="77777777" w:rsidR="002F329E" w:rsidRDefault="002F329E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718E09" w14:textId="2EC9D4FC" w:rsidR="00FC7475" w:rsidRDefault="00F53B35" w:rsidP="00887ACC">
            <w:pPr>
              <w:jc w:val="both"/>
            </w:pPr>
            <w:r>
              <w:t xml:space="preserve">H.B. 2542 </w:t>
            </w:r>
            <w:r w:rsidR="005A1F04">
              <w:t xml:space="preserve">restricts the applicability of </w:t>
            </w:r>
            <w:r w:rsidR="00EB5CA1">
              <w:t>the bill's</w:t>
            </w:r>
            <w:r w:rsidR="005A1F04" w:rsidRPr="00EB5CA1">
              <w:t xml:space="preserve"> provisions</w:t>
            </w:r>
            <w:r w:rsidRPr="00EB5CA1">
              <w:t xml:space="preserve"> </w:t>
            </w:r>
            <w:r>
              <w:t xml:space="preserve">to an employer </w:t>
            </w:r>
            <w:r w:rsidRPr="00FC7475">
              <w:t>who employs at least 15 individuals in</w:t>
            </w:r>
            <w:r>
              <w:t xml:space="preserve"> Texas </w:t>
            </w:r>
            <w:r w:rsidRPr="00FC7475">
              <w:t>for each working day</w:t>
            </w:r>
            <w:r w:rsidRPr="00FC7475">
              <w:t xml:space="preserve"> in at least 20 or more calendar weeks in the current or preceding calendar year</w:t>
            </w:r>
            <w:r w:rsidR="00FC63FC">
              <w:t xml:space="preserve">. The bill </w:t>
            </w:r>
            <w:r w:rsidR="004669FD">
              <w:t xml:space="preserve">exempts from </w:t>
            </w:r>
            <w:r w:rsidR="00EB5CA1">
              <w:t>the bill's</w:t>
            </w:r>
            <w:r w:rsidR="004669FD">
              <w:t xml:space="preserve"> provisions</w:t>
            </w:r>
            <w:r>
              <w:t xml:space="preserve"> </w:t>
            </w:r>
            <w:r w:rsidRPr="00FC7475">
              <w:t>a governmental body</w:t>
            </w:r>
            <w:r>
              <w:t xml:space="preserve"> </w:t>
            </w:r>
            <w:r w:rsidR="006D1C7D">
              <w:t xml:space="preserve">and </w:t>
            </w:r>
            <w:r w:rsidR="00FC63FC" w:rsidRPr="00FC63FC">
              <w:t>an employment position for which an individual may be disqualified based on the individual's criminal history under a federal, state, or local law or in compliance with a legally mandated insurance or bond requirement.</w:t>
            </w:r>
            <w:r w:rsidR="00AD0492">
              <w:t xml:space="preserve"> </w:t>
            </w:r>
          </w:p>
          <w:p w14:paraId="5C62C74F" w14:textId="77777777" w:rsidR="009A4BFF" w:rsidRDefault="009A4BFF" w:rsidP="00887ACC"/>
          <w:p w14:paraId="14258449" w14:textId="1DDD54D0" w:rsidR="006B37C3" w:rsidRDefault="00F53B35" w:rsidP="00EC5082">
            <w:pPr>
              <w:jc w:val="both"/>
            </w:pPr>
            <w:r>
              <w:t xml:space="preserve">H.B. 2542 requires the </w:t>
            </w:r>
            <w:r w:rsidRPr="009A4BFF">
              <w:t>Texas Workforce Commission</w:t>
            </w:r>
            <w:r>
              <w:t xml:space="preserve"> (TWC) to administer the bill's provisions and adopt rules as necessary to implement the provisions. The bill authorizes the TWC to </w:t>
            </w:r>
            <w:r w:rsidRPr="009A4BFF">
              <w:t xml:space="preserve">require reports, conduct investigations, and take other action the </w:t>
            </w:r>
            <w:r>
              <w:t>TWC</w:t>
            </w:r>
            <w:r w:rsidRPr="009A4BFF">
              <w:t xml:space="preserve"> considers necessary</w:t>
            </w:r>
            <w:r>
              <w:t xml:space="preserve"> </w:t>
            </w:r>
            <w:r w:rsidR="00266214">
              <w:t>for that</w:t>
            </w:r>
            <w:r w:rsidRPr="00CE0C46">
              <w:t xml:space="preserve"> implementatio</w:t>
            </w:r>
            <w:r>
              <w:t xml:space="preserve">n. </w:t>
            </w:r>
            <w:r w:rsidR="005D4190">
              <w:t xml:space="preserve">The bill authorizes the TWC to </w:t>
            </w:r>
            <w:r w:rsidR="005D4190" w:rsidRPr="005D4190">
              <w:t xml:space="preserve">assess </w:t>
            </w:r>
            <w:r w:rsidR="005D4190">
              <w:t>a</w:t>
            </w:r>
            <w:r w:rsidR="00AD0492">
              <w:t xml:space="preserve">n </w:t>
            </w:r>
            <w:r w:rsidR="005D4190" w:rsidRPr="005D4190">
              <w:t xml:space="preserve">administrative penalty against an employer </w:t>
            </w:r>
            <w:r w:rsidR="000F0FFF">
              <w:t xml:space="preserve">capped at $500 </w:t>
            </w:r>
            <w:r w:rsidR="005D4190" w:rsidRPr="005D4190">
              <w:t>for each employment position posting or adverse action that violates</w:t>
            </w:r>
            <w:r w:rsidR="005D4190">
              <w:t xml:space="preserve"> the bill's provisions</w:t>
            </w:r>
            <w:r w:rsidR="007C3E37">
              <w:t xml:space="preserve">. The bill also </w:t>
            </w:r>
            <w:r w:rsidR="00FC7475">
              <w:t>g</w:t>
            </w:r>
            <w:r w:rsidR="00FC7475" w:rsidRPr="007C3E37">
              <w:t>ives</w:t>
            </w:r>
            <w:r w:rsidR="00FC7475">
              <w:t xml:space="preserve"> the TWC the option of </w:t>
            </w:r>
            <w:r w:rsidR="005D4190">
              <w:t>issu</w:t>
            </w:r>
            <w:r w:rsidR="00FC7475">
              <w:t>ing</w:t>
            </w:r>
            <w:r w:rsidR="005D4190">
              <w:t xml:space="preserve"> a warning </w:t>
            </w:r>
            <w:r w:rsidR="00FC7475">
              <w:t>and providing</w:t>
            </w:r>
            <w:r w:rsidR="00FC7475" w:rsidRPr="00FC7475">
              <w:t xml:space="preserve"> training materials </w:t>
            </w:r>
            <w:r w:rsidR="00FC7475">
              <w:t xml:space="preserve">to an employer </w:t>
            </w:r>
            <w:r w:rsidR="00FC7475" w:rsidRPr="007C3E37">
              <w:t>on the employer's first violation</w:t>
            </w:r>
            <w:r w:rsidR="00BE3543">
              <w:t xml:space="preserve"> in lieu of assessing the administrative penalty</w:t>
            </w:r>
            <w:r w:rsidR="00FC7475">
              <w:t xml:space="preserve">. </w:t>
            </w:r>
          </w:p>
          <w:p w14:paraId="7E5091B3" w14:textId="77777777" w:rsidR="006B37C3" w:rsidRPr="00835628" w:rsidRDefault="006B37C3" w:rsidP="00887ACC">
            <w:pPr>
              <w:rPr>
                <w:b/>
              </w:rPr>
            </w:pPr>
          </w:p>
        </w:tc>
      </w:tr>
      <w:tr w:rsidR="005C4610" w14:paraId="566B021D" w14:textId="77777777" w:rsidTr="00345119">
        <w:tc>
          <w:tcPr>
            <w:tcW w:w="9576" w:type="dxa"/>
          </w:tcPr>
          <w:p w14:paraId="3679686C" w14:textId="77777777" w:rsidR="008423E4" w:rsidRPr="00A8133F" w:rsidRDefault="00F53B35" w:rsidP="00887A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A7DA5D" w14:textId="77777777" w:rsidR="008423E4" w:rsidRDefault="008423E4" w:rsidP="00887ACC"/>
          <w:p w14:paraId="4471078A" w14:textId="77777777" w:rsidR="008423E4" w:rsidRPr="003624F2" w:rsidRDefault="00F53B35" w:rsidP="00887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F3B063C" w14:textId="77777777" w:rsidR="008423E4" w:rsidRPr="00233FDB" w:rsidRDefault="008423E4" w:rsidP="00887ACC">
            <w:pPr>
              <w:rPr>
                <w:b/>
              </w:rPr>
            </w:pPr>
          </w:p>
        </w:tc>
      </w:tr>
    </w:tbl>
    <w:p w14:paraId="623CF5F7" w14:textId="77777777" w:rsidR="008423E4" w:rsidRPr="00BE0E75" w:rsidRDefault="008423E4" w:rsidP="00887ACC">
      <w:pPr>
        <w:jc w:val="both"/>
        <w:rPr>
          <w:rFonts w:ascii="Arial" w:hAnsi="Arial"/>
          <w:sz w:val="16"/>
          <w:szCs w:val="16"/>
        </w:rPr>
      </w:pPr>
    </w:p>
    <w:p w14:paraId="57B4DFFE" w14:textId="77777777" w:rsidR="004108C3" w:rsidRPr="008423E4" w:rsidRDefault="004108C3" w:rsidP="00887AC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01BF" w14:textId="77777777" w:rsidR="00000000" w:rsidRDefault="00F53B35">
      <w:r>
        <w:separator/>
      </w:r>
    </w:p>
  </w:endnote>
  <w:endnote w:type="continuationSeparator" w:id="0">
    <w:p w14:paraId="234A810D" w14:textId="77777777" w:rsidR="00000000" w:rsidRDefault="00F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A83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4610" w14:paraId="574912D1" w14:textId="77777777" w:rsidTr="009C1E9A">
      <w:trPr>
        <w:cantSplit/>
      </w:trPr>
      <w:tc>
        <w:tcPr>
          <w:tcW w:w="0" w:type="pct"/>
        </w:tcPr>
        <w:p w14:paraId="2C6749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71A6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1F2A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B1F3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D32B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4610" w14:paraId="66250661" w14:textId="77777777" w:rsidTr="009C1E9A">
      <w:trPr>
        <w:cantSplit/>
      </w:trPr>
      <w:tc>
        <w:tcPr>
          <w:tcW w:w="0" w:type="pct"/>
        </w:tcPr>
        <w:p w14:paraId="2963AF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411D62" w14:textId="7EA59CC1" w:rsidR="00EC379B" w:rsidRPr="009C1E9A" w:rsidRDefault="00F53B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23898</w:t>
          </w:r>
        </w:p>
      </w:tc>
      <w:tc>
        <w:tcPr>
          <w:tcW w:w="2453" w:type="pct"/>
        </w:tcPr>
        <w:p w14:paraId="0D112780" w14:textId="636100DA" w:rsidR="00EC379B" w:rsidRDefault="00F53B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7ACC">
            <w:t>21.123.3029</w:t>
          </w:r>
          <w:r>
            <w:fldChar w:fldCharType="end"/>
          </w:r>
        </w:p>
      </w:tc>
    </w:tr>
    <w:tr w:rsidR="005C4610" w14:paraId="0BF590B0" w14:textId="77777777" w:rsidTr="009C1E9A">
      <w:trPr>
        <w:cantSplit/>
      </w:trPr>
      <w:tc>
        <w:tcPr>
          <w:tcW w:w="0" w:type="pct"/>
        </w:tcPr>
        <w:p w14:paraId="3572AFE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D1E8C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DC3AA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1C274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4610" w14:paraId="5745DF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BC5F11" w14:textId="22898207" w:rsidR="00EC379B" w:rsidRDefault="00F53B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C508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97F2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99D0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DD9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2A12" w14:textId="77777777" w:rsidR="00000000" w:rsidRDefault="00F53B35">
      <w:r>
        <w:separator/>
      </w:r>
    </w:p>
  </w:footnote>
  <w:footnote w:type="continuationSeparator" w:id="0">
    <w:p w14:paraId="3D03B264" w14:textId="77777777" w:rsidR="00000000" w:rsidRDefault="00F5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8B4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21E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AD9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B20"/>
    <w:multiLevelType w:val="hybridMultilevel"/>
    <w:tmpl w:val="9C224494"/>
    <w:lvl w:ilvl="0" w:tplc="6B88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CA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8D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F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4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8B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D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0C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49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3B55"/>
    <w:multiLevelType w:val="hybridMultilevel"/>
    <w:tmpl w:val="BCE8AAAC"/>
    <w:lvl w:ilvl="0" w:tplc="A5B0C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A9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D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A2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3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E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28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28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55A"/>
    <w:multiLevelType w:val="hybridMultilevel"/>
    <w:tmpl w:val="A3B0154A"/>
    <w:lvl w:ilvl="0" w:tplc="D6786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AD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43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4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EF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0F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C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4F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29E7"/>
    <w:multiLevelType w:val="hybridMultilevel"/>
    <w:tmpl w:val="8158935A"/>
    <w:lvl w:ilvl="0" w:tplc="E2244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AC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6E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5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A2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01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8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D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2F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16E"/>
    <w:rsid w:val="000E1976"/>
    <w:rsid w:val="000E20F1"/>
    <w:rsid w:val="000E5B20"/>
    <w:rsid w:val="000E7C14"/>
    <w:rsid w:val="000F094C"/>
    <w:rsid w:val="000F0FFF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CF7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41C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214"/>
    <w:rsid w:val="00267841"/>
    <w:rsid w:val="00270D0C"/>
    <w:rsid w:val="002710C3"/>
    <w:rsid w:val="002734D6"/>
    <w:rsid w:val="002746DB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329E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ADC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649A"/>
    <w:rsid w:val="004669F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8CD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F04"/>
    <w:rsid w:val="005A3790"/>
    <w:rsid w:val="005A3CCB"/>
    <w:rsid w:val="005A6D13"/>
    <w:rsid w:val="005B031F"/>
    <w:rsid w:val="005B3298"/>
    <w:rsid w:val="005B5516"/>
    <w:rsid w:val="005B5D2B"/>
    <w:rsid w:val="005C00D7"/>
    <w:rsid w:val="005C1496"/>
    <w:rsid w:val="005C17C5"/>
    <w:rsid w:val="005C2B21"/>
    <w:rsid w:val="005C2C00"/>
    <w:rsid w:val="005C4610"/>
    <w:rsid w:val="005C4C6F"/>
    <w:rsid w:val="005C5127"/>
    <w:rsid w:val="005C7CCB"/>
    <w:rsid w:val="005D1444"/>
    <w:rsid w:val="005D4190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79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7C3"/>
    <w:rsid w:val="006B54C5"/>
    <w:rsid w:val="006B5E80"/>
    <w:rsid w:val="006B7A2E"/>
    <w:rsid w:val="006C4709"/>
    <w:rsid w:val="006D1C7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4A8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E3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7AC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2B4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BFF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FD8"/>
    <w:rsid w:val="00A41085"/>
    <w:rsid w:val="00A425FA"/>
    <w:rsid w:val="00A43960"/>
    <w:rsid w:val="00A46902"/>
    <w:rsid w:val="00A50CDB"/>
    <w:rsid w:val="00A51F3E"/>
    <w:rsid w:val="00A53360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546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492"/>
    <w:rsid w:val="00AD304B"/>
    <w:rsid w:val="00AD4497"/>
    <w:rsid w:val="00AD7780"/>
    <w:rsid w:val="00AE2263"/>
    <w:rsid w:val="00AE248E"/>
    <w:rsid w:val="00AE2D12"/>
    <w:rsid w:val="00AE2F06"/>
    <w:rsid w:val="00AE4F1C"/>
    <w:rsid w:val="00AE63C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54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20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C46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D1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20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33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EFA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CA1"/>
    <w:rsid w:val="00EC02A2"/>
    <w:rsid w:val="00EC379B"/>
    <w:rsid w:val="00EC37DF"/>
    <w:rsid w:val="00EC41B1"/>
    <w:rsid w:val="00EC508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96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948"/>
    <w:rsid w:val="00F11E04"/>
    <w:rsid w:val="00F12B24"/>
    <w:rsid w:val="00F12BC7"/>
    <w:rsid w:val="00F14D29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8EF"/>
    <w:rsid w:val="00F4569E"/>
    <w:rsid w:val="00F45AFC"/>
    <w:rsid w:val="00F462F4"/>
    <w:rsid w:val="00F50130"/>
    <w:rsid w:val="00F52402"/>
    <w:rsid w:val="00F53B35"/>
    <w:rsid w:val="00F5605D"/>
    <w:rsid w:val="00F56FCF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3FC"/>
    <w:rsid w:val="00FC726C"/>
    <w:rsid w:val="00FC7475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29B9F1-8C2D-4982-9C17-F3916E85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32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3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32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3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329E"/>
    <w:rPr>
      <w:b/>
      <w:bCs/>
    </w:rPr>
  </w:style>
  <w:style w:type="paragraph" w:styleId="ListParagraph">
    <w:name w:val="List Paragraph"/>
    <w:basedOn w:val="Normal"/>
    <w:uiPriority w:val="34"/>
    <w:qFormat/>
    <w:rsid w:val="00FC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4367</Characters>
  <Application>Microsoft Office Word</Application>
  <DocSecurity>4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HB02542 (Committee Report (Unamended))</vt:lpstr>
    </vt:vector>
  </TitlesOfParts>
  <Company>State of Texas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23898</dc:subject>
  <dc:creator>State of Texas</dc:creator>
  <dc:description>HB 2542 by Rose-(H)Business &amp; Industry</dc:description>
  <cp:lastModifiedBy>Stacey Nicchio</cp:lastModifiedBy>
  <cp:revision>2</cp:revision>
  <cp:lastPrinted>2003-11-26T17:21:00Z</cp:lastPrinted>
  <dcterms:created xsi:type="dcterms:W3CDTF">2021-05-05T16:16:00Z</dcterms:created>
  <dcterms:modified xsi:type="dcterms:W3CDTF">2021-05-05T16:16:00Z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21.123.3029</vt:lpwstr>
  </property>
</Properties>
</file>