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44115" w14:paraId="029DDEFF" w14:textId="77777777" w:rsidTr="00345119">
        <w:tc>
          <w:tcPr>
            <w:tcW w:w="9576" w:type="dxa"/>
            <w:noWrap/>
          </w:tcPr>
          <w:p w14:paraId="60AA5C25" w14:textId="77777777" w:rsidR="008423E4" w:rsidRPr="0022177D" w:rsidRDefault="0077593B" w:rsidP="00455E61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7D809128" w14:textId="77777777" w:rsidR="008423E4" w:rsidRPr="0022177D" w:rsidRDefault="008423E4" w:rsidP="00455E61">
      <w:pPr>
        <w:jc w:val="center"/>
      </w:pPr>
    </w:p>
    <w:p w14:paraId="484DB866" w14:textId="77777777" w:rsidR="008423E4" w:rsidRPr="00B31F0E" w:rsidRDefault="008423E4" w:rsidP="00455E61"/>
    <w:p w14:paraId="68A7FE30" w14:textId="77777777" w:rsidR="008423E4" w:rsidRPr="00742794" w:rsidRDefault="008423E4" w:rsidP="00455E6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44115" w14:paraId="23E8CEDE" w14:textId="77777777" w:rsidTr="00345119">
        <w:tc>
          <w:tcPr>
            <w:tcW w:w="9576" w:type="dxa"/>
          </w:tcPr>
          <w:p w14:paraId="0FCF6F2D" w14:textId="6B4613BC" w:rsidR="008423E4" w:rsidRPr="00861995" w:rsidRDefault="0077593B" w:rsidP="00455E61">
            <w:pPr>
              <w:jc w:val="right"/>
            </w:pPr>
            <w:r>
              <w:t>C.S.H.B. 2547</w:t>
            </w:r>
          </w:p>
        </w:tc>
      </w:tr>
      <w:tr w:rsidR="00A44115" w14:paraId="122F4AE5" w14:textId="77777777" w:rsidTr="00345119">
        <w:tc>
          <w:tcPr>
            <w:tcW w:w="9576" w:type="dxa"/>
          </w:tcPr>
          <w:p w14:paraId="3554D2FF" w14:textId="23923071" w:rsidR="008423E4" w:rsidRPr="00861995" w:rsidRDefault="0077593B" w:rsidP="00455E61">
            <w:pPr>
              <w:jc w:val="right"/>
            </w:pPr>
            <w:r>
              <w:t xml:space="preserve">By: </w:t>
            </w:r>
            <w:r w:rsidR="00EE1AF9">
              <w:t>Oliverson</w:t>
            </w:r>
          </w:p>
        </w:tc>
      </w:tr>
      <w:tr w:rsidR="00A44115" w14:paraId="5C9E9F67" w14:textId="77777777" w:rsidTr="00345119">
        <w:tc>
          <w:tcPr>
            <w:tcW w:w="9576" w:type="dxa"/>
          </w:tcPr>
          <w:p w14:paraId="3B58E6E4" w14:textId="7B79C0F5" w:rsidR="008423E4" w:rsidRPr="00861995" w:rsidRDefault="0077593B" w:rsidP="00455E61">
            <w:pPr>
              <w:jc w:val="right"/>
            </w:pPr>
            <w:r>
              <w:t>Insurance</w:t>
            </w:r>
          </w:p>
        </w:tc>
      </w:tr>
      <w:tr w:rsidR="00A44115" w14:paraId="1FF5458D" w14:textId="77777777" w:rsidTr="00345119">
        <w:tc>
          <w:tcPr>
            <w:tcW w:w="9576" w:type="dxa"/>
          </w:tcPr>
          <w:p w14:paraId="4C5625CF" w14:textId="4531FC8D" w:rsidR="008423E4" w:rsidRDefault="0077593B" w:rsidP="00455E61">
            <w:pPr>
              <w:jc w:val="right"/>
            </w:pPr>
            <w:r>
              <w:t>Committee Report (Substituted)</w:t>
            </w:r>
          </w:p>
        </w:tc>
      </w:tr>
    </w:tbl>
    <w:p w14:paraId="1F79F36A" w14:textId="77777777" w:rsidR="008423E4" w:rsidRDefault="008423E4" w:rsidP="00455E61">
      <w:pPr>
        <w:tabs>
          <w:tab w:val="right" w:pos="9360"/>
        </w:tabs>
      </w:pPr>
    </w:p>
    <w:p w14:paraId="247BDE09" w14:textId="77777777" w:rsidR="008423E4" w:rsidRDefault="008423E4" w:rsidP="00455E61"/>
    <w:p w14:paraId="3F01BF69" w14:textId="77777777" w:rsidR="008423E4" w:rsidRDefault="008423E4" w:rsidP="00455E6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44115" w14:paraId="3989BEE4" w14:textId="77777777" w:rsidTr="00006CBD">
        <w:tc>
          <w:tcPr>
            <w:tcW w:w="9360" w:type="dxa"/>
          </w:tcPr>
          <w:p w14:paraId="4118E534" w14:textId="77777777" w:rsidR="008423E4" w:rsidRPr="00A8133F" w:rsidRDefault="0077593B" w:rsidP="00455E6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1DCF5C" w14:textId="77777777" w:rsidR="008423E4" w:rsidRDefault="008423E4" w:rsidP="00455E61"/>
          <w:p w14:paraId="59A8E399" w14:textId="0763AF90" w:rsidR="008423E4" w:rsidRDefault="0077593B" w:rsidP="00455E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91F08">
              <w:t xml:space="preserve">In an era of quickly advancing technology and </w:t>
            </w:r>
            <w:r w:rsidR="00F14118">
              <w:t xml:space="preserve">economic </w:t>
            </w:r>
            <w:r w:rsidRPr="00D91F08">
              <w:t xml:space="preserve">innovation, businesses are </w:t>
            </w:r>
            <w:r>
              <w:t xml:space="preserve">seeking </w:t>
            </w:r>
            <w:r w:rsidRPr="00D91F08">
              <w:t xml:space="preserve">a more robust range of insurance products at competitive prices to keep pace with ever-evolving </w:t>
            </w:r>
            <w:r w:rsidR="004746C2">
              <w:t>risks</w:t>
            </w:r>
            <w:r>
              <w:t xml:space="preserve"> </w:t>
            </w:r>
            <w:r w:rsidRPr="00D91F08">
              <w:t xml:space="preserve">and better address </w:t>
            </w:r>
            <w:r w:rsidR="00803E60">
              <w:t>specific</w:t>
            </w:r>
            <w:r w:rsidRPr="00D91F08">
              <w:t xml:space="preserve"> </w:t>
            </w:r>
            <w:r w:rsidR="00803E60">
              <w:t xml:space="preserve">business </w:t>
            </w:r>
            <w:r>
              <w:t>needs</w:t>
            </w:r>
            <w:r w:rsidRPr="00D91F08">
              <w:t xml:space="preserve">. Unfortunately, regulatory filing and review requirements can limit the range of </w:t>
            </w:r>
            <w:r w:rsidR="00803E60">
              <w:t>product choice</w:t>
            </w:r>
            <w:r w:rsidRPr="00D91F08">
              <w:t xml:space="preserve"> by discouraging</w:t>
            </w:r>
            <w:r w:rsidRPr="00D91F08">
              <w:t xml:space="preserve"> new market entrants, making it harder for existing comp</w:t>
            </w:r>
            <w:r w:rsidR="00803E60">
              <w:t>etitors to develop new products</w:t>
            </w:r>
            <w:r w:rsidR="00025192">
              <w:t>,</w:t>
            </w:r>
            <w:r w:rsidRPr="00D91F08">
              <w:t xml:space="preserve"> and slowing the speed at which innovative products can reach the marketplace.</w:t>
            </w:r>
            <w:r>
              <w:t xml:space="preserve"> C.S.</w:t>
            </w:r>
            <w:r w:rsidRPr="00D91F08">
              <w:t>H</w:t>
            </w:r>
            <w:r>
              <w:t>.</w:t>
            </w:r>
            <w:r w:rsidRPr="00D91F08">
              <w:t>B</w:t>
            </w:r>
            <w:r>
              <w:t>.</w:t>
            </w:r>
            <w:r w:rsidRPr="00D91F08">
              <w:t xml:space="preserve"> 2547 </w:t>
            </w:r>
            <w:r>
              <w:t>seeks to enact</w:t>
            </w:r>
            <w:r w:rsidRPr="00D91F08">
              <w:t xml:space="preserve"> market</w:t>
            </w:r>
            <w:r w:rsidR="00025192">
              <w:t>-</w:t>
            </w:r>
            <w:r w:rsidRPr="00D91F08">
              <w:t xml:space="preserve">oriented reforms </w:t>
            </w:r>
            <w:r>
              <w:t>that will</w:t>
            </w:r>
            <w:r w:rsidRPr="00D91F08">
              <w:t xml:space="preserve"> facilitate robust product </w:t>
            </w:r>
            <w:r w:rsidRPr="00D91F08">
              <w:t xml:space="preserve">offerings </w:t>
            </w:r>
            <w:r>
              <w:t xml:space="preserve">by </w:t>
            </w:r>
            <w:r w:rsidRPr="00D91F08">
              <w:t>exempt</w:t>
            </w:r>
            <w:r>
              <w:t>ing any line of certain kinds of commercial insurance</w:t>
            </w:r>
            <w:r w:rsidRPr="00D91F08">
              <w:t xml:space="preserve"> from </w:t>
            </w:r>
            <w:r>
              <w:t>applicable</w:t>
            </w:r>
            <w:r w:rsidRPr="00D91F08">
              <w:t xml:space="preserve"> rate </w:t>
            </w:r>
            <w:r w:rsidR="00F14118">
              <w:t xml:space="preserve">and policy form </w:t>
            </w:r>
            <w:r w:rsidRPr="00D91F08">
              <w:t xml:space="preserve">filing requirements. </w:t>
            </w:r>
          </w:p>
          <w:p w14:paraId="3F304311" w14:textId="77777777" w:rsidR="008423E4" w:rsidRPr="00E26B13" w:rsidRDefault="008423E4" w:rsidP="00455E61">
            <w:pPr>
              <w:rPr>
                <w:b/>
              </w:rPr>
            </w:pPr>
          </w:p>
        </w:tc>
      </w:tr>
      <w:tr w:rsidR="00A44115" w14:paraId="33F03E27" w14:textId="77777777" w:rsidTr="00006CBD">
        <w:tc>
          <w:tcPr>
            <w:tcW w:w="9360" w:type="dxa"/>
          </w:tcPr>
          <w:p w14:paraId="746CF0E4" w14:textId="77777777" w:rsidR="0017725B" w:rsidRDefault="0077593B" w:rsidP="00455E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2624049" w14:textId="77777777" w:rsidR="0017725B" w:rsidRDefault="0017725B" w:rsidP="00455E61">
            <w:pPr>
              <w:rPr>
                <w:b/>
                <w:u w:val="single"/>
              </w:rPr>
            </w:pPr>
          </w:p>
          <w:p w14:paraId="5E48E1E5" w14:textId="77777777" w:rsidR="00D0159B" w:rsidRPr="00D0159B" w:rsidRDefault="0077593B" w:rsidP="00455E61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2D0F02EE" w14:textId="77777777" w:rsidR="0017725B" w:rsidRPr="0017725B" w:rsidRDefault="0017725B" w:rsidP="00455E61">
            <w:pPr>
              <w:rPr>
                <w:b/>
                <w:u w:val="single"/>
              </w:rPr>
            </w:pPr>
          </w:p>
        </w:tc>
      </w:tr>
      <w:tr w:rsidR="00A44115" w14:paraId="350FA88E" w14:textId="77777777" w:rsidTr="00006CBD">
        <w:tc>
          <w:tcPr>
            <w:tcW w:w="9360" w:type="dxa"/>
          </w:tcPr>
          <w:p w14:paraId="228D21E8" w14:textId="77777777" w:rsidR="008423E4" w:rsidRPr="00A8133F" w:rsidRDefault="0077593B" w:rsidP="00455E6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B5A7C8D" w14:textId="77777777" w:rsidR="008423E4" w:rsidRDefault="008423E4" w:rsidP="00455E61"/>
          <w:p w14:paraId="1A7D0DCB" w14:textId="2F4B983C" w:rsidR="00360B1B" w:rsidRDefault="0077593B" w:rsidP="00455E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</w:t>
            </w:r>
            <w:r>
              <w:t xml:space="preserve">ority is expressly granted to the commissioner of insurance in SECTIONS </w:t>
            </w:r>
            <w:r w:rsidR="00695018">
              <w:t>3</w:t>
            </w:r>
            <w:r>
              <w:t xml:space="preserve"> and 6 of this bill.</w:t>
            </w:r>
          </w:p>
          <w:p w14:paraId="4B6677D3" w14:textId="77777777" w:rsidR="008423E4" w:rsidRPr="00E21FDC" w:rsidRDefault="008423E4" w:rsidP="00455E61">
            <w:pPr>
              <w:rPr>
                <w:b/>
              </w:rPr>
            </w:pPr>
          </w:p>
        </w:tc>
      </w:tr>
      <w:tr w:rsidR="00A44115" w14:paraId="41E4910E" w14:textId="77777777" w:rsidTr="00006CBD">
        <w:tc>
          <w:tcPr>
            <w:tcW w:w="9360" w:type="dxa"/>
          </w:tcPr>
          <w:p w14:paraId="34C20D54" w14:textId="77777777" w:rsidR="008423E4" w:rsidRPr="00A8133F" w:rsidRDefault="0077593B" w:rsidP="00455E6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3861CC5" w14:textId="77777777" w:rsidR="008423E4" w:rsidRDefault="008423E4" w:rsidP="00455E61"/>
          <w:p w14:paraId="1B0A6F76" w14:textId="4217A3E8" w:rsidR="009C36CD" w:rsidRDefault="0077593B" w:rsidP="00455E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D0159B">
              <w:t xml:space="preserve">H.B. 2547 amends the Insurance Code to exempt </w:t>
            </w:r>
            <w:r w:rsidR="00D0159B" w:rsidRPr="00D0159B">
              <w:t xml:space="preserve">any line of the following kinds of insurance written under a commercial insurance policy or contract issued by an insurer authorized to engage in the business of insurance in </w:t>
            </w:r>
            <w:r w:rsidR="00D0159B">
              <w:t>T</w:t>
            </w:r>
            <w:r w:rsidR="00B8699B">
              <w:t xml:space="preserve">exas from </w:t>
            </w:r>
            <w:r w:rsidR="004222C6">
              <w:t xml:space="preserve">applicable </w:t>
            </w:r>
            <w:r w:rsidR="00D0159B" w:rsidRPr="004222C6">
              <w:t xml:space="preserve">rate </w:t>
            </w:r>
            <w:r w:rsidR="004222C6">
              <w:t xml:space="preserve">and form </w:t>
            </w:r>
            <w:r w:rsidR="00D0159B" w:rsidRPr="004222C6">
              <w:t>filing</w:t>
            </w:r>
            <w:r w:rsidR="00B8699B" w:rsidRPr="004222C6">
              <w:t xml:space="preserve"> requirements</w:t>
            </w:r>
            <w:r w:rsidR="00D0159B" w:rsidRPr="004222C6">
              <w:t>:</w:t>
            </w:r>
          </w:p>
          <w:p w14:paraId="7A62B6B0" w14:textId="77777777" w:rsidR="00D0159B" w:rsidRDefault="0077593B" w:rsidP="00455E6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surety bonds;</w:t>
            </w:r>
          </w:p>
          <w:p w14:paraId="38078050" w14:textId="77777777" w:rsidR="00D0159B" w:rsidRDefault="0077593B" w:rsidP="00455E6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fidelity b</w:t>
            </w:r>
            <w:r>
              <w:t>onds;</w:t>
            </w:r>
          </w:p>
          <w:p w14:paraId="12D25901" w14:textId="77777777" w:rsidR="00D0159B" w:rsidRDefault="0077593B" w:rsidP="00455E6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commercial inland marine;</w:t>
            </w:r>
          </w:p>
          <w:p w14:paraId="2AAD29F8" w14:textId="77777777" w:rsidR="00D0159B" w:rsidRDefault="0077593B" w:rsidP="00455E6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boiler and machinery;</w:t>
            </w:r>
          </w:p>
          <w:p w14:paraId="502FE82F" w14:textId="77777777" w:rsidR="00D0159B" w:rsidRDefault="0077593B" w:rsidP="00455E6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environmental impairment or pollution liability;</w:t>
            </w:r>
          </w:p>
          <w:p w14:paraId="58EB2BCA" w14:textId="77777777" w:rsidR="00D0159B" w:rsidRDefault="0077593B" w:rsidP="00455E6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kidnap and ransom;</w:t>
            </w:r>
          </w:p>
          <w:p w14:paraId="50FBC09E" w14:textId="77777777" w:rsidR="00D0159B" w:rsidRDefault="0077593B" w:rsidP="00455E6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political risk or expropriation;</w:t>
            </w:r>
          </w:p>
          <w:p w14:paraId="65195E3D" w14:textId="77777777" w:rsidR="00D0159B" w:rsidRDefault="0077593B" w:rsidP="00455E6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commercial excess liability or umbrella liability;</w:t>
            </w:r>
          </w:p>
          <w:p w14:paraId="19413922" w14:textId="77777777" w:rsidR="00D0159B" w:rsidRDefault="0077593B" w:rsidP="00455E6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directors' and officers' liability;</w:t>
            </w:r>
          </w:p>
          <w:p w14:paraId="76398133" w14:textId="77777777" w:rsidR="00D0159B" w:rsidRDefault="0077593B" w:rsidP="00455E6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fiduciary liab</w:t>
            </w:r>
            <w:r>
              <w:t>ility;</w:t>
            </w:r>
          </w:p>
          <w:p w14:paraId="171E760B" w14:textId="77777777" w:rsidR="00D0159B" w:rsidRDefault="0077593B" w:rsidP="00455E6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employment practices liability;</w:t>
            </w:r>
          </w:p>
          <w:p w14:paraId="06A348DC" w14:textId="77777777" w:rsidR="00D0159B" w:rsidRDefault="0077593B" w:rsidP="00455E6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errors and omission and professional liability other than medical professional liability;</w:t>
            </w:r>
          </w:p>
          <w:p w14:paraId="412ED0A0" w14:textId="77777777" w:rsidR="00D0159B" w:rsidRDefault="0077593B" w:rsidP="00455E6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media liability;</w:t>
            </w:r>
          </w:p>
          <w:p w14:paraId="3C066683" w14:textId="77777777" w:rsidR="00D0159B" w:rsidRDefault="0077593B" w:rsidP="00455E6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product liability, product recall, or completed operations;</w:t>
            </w:r>
          </w:p>
          <w:p w14:paraId="5C978801" w14:textId="77777777" w:rsidR="00D0159B" w:rsidRDefault="0077593B" w:rsidP="00455E6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commercial cybersecurity, including first- and thi</w:t>
            </w:r>
            <w:r>
              <w:t>rd-party commercial lines coverage for losses arising out of or relating to data privacy breaches, network security, computer viruses, and similar exposures;</w:t>
            </w:r>
          </w:p>
          <w:p w14:paraId="3C497517" w14:textId="1EBCF21A" w:rsidR="00D0159B" w:rsidRDefault="0077593B" w:rsidP="00455E6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highly protected commercial property</w:t>
            </w:r>
            <w:r w:rsidR="00B8699B">
              <w:t xml:space="preserve"> </w:t>
            </w:r>
            <w:r w:rsidR="00B8699B" w:rsidRPr="00B8699B">
              <w:t>that is subject to a much lower than normal probability of loss due to low-hazard occupancy</w:t>
            </w:r>
            <w:r w:rsidR="00EB2852">
              <w:t xml:space="preserve"> or</w:t>
            </w:r>
            <w:r w:rsidR="00B8699B" w:rsidRPr="00B8699B">
              <w:t xml:space="preserve"> property type, superior construction, special fire protection equipment and procedures, </w:t>
            </w:r>
            <w:r w:rsidR="000753B8">
              <w:t>and</w:t>
            </w:r>
            <w:r w:rsidR="000753B8" w:rsidRPr="00B8699B">
              <w:t xml:space="preserve"> </w:t>
            </w:r>
            <w:r w:rsidR="00B8699B" w:rsidRPr="00B8699B">
              <w:t>management commitment to loss prevention</w:t>
            </w:r>
            <w:r>
              <w:t>;</w:t>
            </w:r>
          </w:p>
          <w:p w14:paraId="691DCE51" w14:textId="77777777" w:rsidR="00D0159B" w:rsidRDefault="0077593B" w:rsidP="00455E61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commercial flood insurance not </w:t>
            </w:r>
            <w:r>
              <w:t>provided through the National Flood Insurance Program; or</w:t>
            </w:r>
          </w:p>
          <w:p w14:paraId="3780E6E6" w14:textId="219645C3" w:rsidR="00D0159B" w:rsidRDefault="0077593B" w:rsidP="00455E6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any combination of </w:t>
            </w:r>
            <w:r w:rsidRPr="00026C8C">
              <w:t>only th</w:t>
            </w:r>
            <w:r w:rsidR="00026C8C">
              <w:t>e</w:t>
            </w:r>
            <w:r w:rsidRPr="00026C8C">
              <w:t xml:space="preserve"> kinds of in</w:t>
            </w:r>
            <w:r w:rsidRPr="000226F7">
              <w:t>surance</w:t>
            </w:r>
            <w:r w:rsidR="00FF33DC">
              <w:t xml:space="preserve"> </w:t>
            </w:r>
            <w:r w:rsidR="00026C8C">
              <w:t xml:space="preserve">included in this list </w:t>
            </w:r>
            <w:r w:rsidR="00FF33DC">
              <w:t xml:space="preserve">or </w:t>
            </w:r>
            <w:r w:rsidR="00026C8C">
              <w:t xml:space="preserve">otherwise </w:t>
            </w:r>
            <w:r w:rsidR="00FF33DC">
              <w:t xml:space="preserve">exempted </w:t>
            </w:r>
            <w:r w:rsidR="00026C8C">
              <w:t>from the requirements</w:t>
            </w:r>
            <w:r w:rsidR="00FF33DC">
              <w:t xml:space="preserve"> </w:t>
            </w:r>
            <w:r w:rsidR="00026C8C">
              <w:t>under the bill's provisions</w:t>
            </w:r>
            <w:r w:rsidRPr="000226F7">
              <w:t>.</w:t>
            </w:r>
          </w:p>
          <w:p w14:paraId="573A9B8E" w14:textId="77777777" w:rsidR="00360B1B" w:rsidRDefault="00360B1B" w:rsidP="00455E61">
            <w:pPr>
              <w:pStyle w:val="Header"/>
              <w:jc w:val="both"/>
            </w:pPr>
          </w:p>
          <w:p w14:paraId="67944374" w14:textId="6D1C3D87" w:rsidR="004664D9" w:rsidRDefault="0077593B" w:rsidP="00455E61">
            <w:pPr>
              <w:pStyle w:val="Header"/>
              <w:jc w:val="both"/>
            </w:pPr>
            <w:r>
              <w:t>C.S.</w:t>
            </w:r>
            <w:r w:rsidR="00360B1B">
              <w:t>H.B. 2547</w:t>
            </w:r>
            <w:r w:rsidR="00B8699B">
              <w:t xml:space="preserve"> authorizes the commissioner of insurance by rule to exempt </w:t>
            </w:r>
            <w:r w:rsidR="00B8699B" w:rsidRPr="00FB515D">
              <w:t>a</w:t>
            </w:r>
            <w:r w:rsidR="00EC4345" w:rsidRPr="00FB515D">
              <w:t>n additional</w:t>
            </w:r>
            <w:r w:rsidR="00B8699B" w:rsidRPr="00B8699B">
              <w:t xml:space="preserve"> commercial line of insurance or commercial risk not </w:t>
            </w:r>
            <w:r w:rsidR="00B8699B" w:rsidRPr="00FB515D">
              <w:t xml:space="preserve">listed above </w:t>
            </w:r>
            <w:r w:rsidR="00B8699B" w:rsidRPr="000226F7">
              <w:t xml:space="preserve">from </w:t>
            </w:r>
            <w:r w:rsidR="00EC4345" w:rsidRPr="000226F7">
              <w:t>those</w:t>
            </w:r>
            <w:r w:rsidR="000226F7">
              <w:t xml:space="preserve"> rate and form filing</w:t>
            </w:r>
            <w:r w:rsidR="00B8699B" w:rsidRPr="000226F7">
              <w:t xml:space="preserve"> requirements</w:t>
            </w:r>
            <w:r w:rsidR="00B8699B" w:rsidRPr="00B8699B">
              <w:t xml:space="preserve"> to promote enhanced competition or more effectively use the resources of </w:t>
            </w:r>
            <w:r w:rsidR="00B8699B" w:rsidRPr="00EE7748">
              <w:t xml:space="preserve">the </w:t>
            </w:r>
            <w:r w:rsidR="00EE7748">
              <w:t xml:space="preserve">Texas </w:t>
            </w:r>
            <w:r w:rsidR="00B8699B" w:rsidRPr="00EE7748">
              <w:t xml:space="preserve">Department of </w:t>
            </w:r>
            <w:r w:rsidR="0095059F" w:rsidRPr="00EE7748">
              <w:t>Insurance</w:t>
            </w:r>
            <w:r w:rsidR="00B8699B" w:rsidRPr="00B8699B">
              <w:t xml:space="preserve"> that might otherwise be used to review commercial lines filings.</w:t>
            </w:r>
            <w:r w:rsidR="0095059F">
              <w:t xml:space="preserve"> The bill </w:t>
            </w:r>
            <w:r>
              <w:t xml:space="preserve">authorizes the commissioner </w:t>
            </w:r>
            <w:r w:rsidRPr="000226F7">
              <w:t xml:space="preserve">to </w:t>
            </w:r>
            <w:r w:rsidR="000226F7">
              <w:t>reinstate</w:t>
            </w:r>
            <w:r w:rsidR="00360B1B" w:rsidRPr="000226F7">
              <w:t xml:space="preserve"> the</w:t>
            </w:r>
            <w:r w:rsidR="00360B1B">
              <w:t xml:space="preserve"> requirements</w:t>
            </w:r>
            <w:r>
              <w:t xml:space="preserve"> </w:t>
            </w:r>
            <w:r w:rsidR="00360B1B">
              <w:t>for one of the</w:t>
            </w:r>
            <w:r>
              <w:t xml:space="preserve"> </w:t>
            </w:r>
            <w:r w:rsidR="00360B1B">
              <w:t xml:space="preserve">listed </w:t>
            </w:r>
            <w:r>
              <w:t>kind</w:t>
            </w:r>
            <w:r w:rsidR="00360B1B">
              <w:t>s</w:t>
            </w:r>
            <w:r w:rsidR="000F2A81">
              <w:t xml:space="preserve"> of insurance</w:t>
            </w:r>
            <w:r>
              <w:t xml:space="preserve"> for a period of not longer than one year if, after notice and hearing, the commissioner issues an </w:t>
            </w:r>
            <w:r w:rsidRPr="00EE7748">
              <w:t>order that</w:t>
            </w:r>
            <w:r w:rsidR="00EE7748">
              <w:t xml:space="preserve"> does the following</w:t>
            </w:r>
            <w:r w:rsidRPr="00EE7748">
              <w:t>:</w:t>
            </w:r>
          </w:p>
          <w:p w14:paraId="3D305AE9" w14:textId="49197C44" w:rsidR="004664D9" w:rsidRDefault="0077593B" w:rsidP="00455E61">
            <w:pPr>
              <w:pStyle w:val="Header"/>
              <w:numPr>
                <w:ilvl w:val="0"/>
                <w:numId w:val="2"/>
              </w:numPr>
              <w:jc w:val="both"/>
            </w:pPr>
            <w:r>
              <w:t>includes a finding that a reasonable degree of competition does not exist for that specific kind of insurance; and</w:t>
            </w:r>
          </w:p>
          <w:p w14:paraId="6726C77D" w14:textId="4736A79F" w:rsidR="00B8699B" w:rsidRDefault="0077593B" w:rsidP="00455E6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specifies t</w:t>
            </w:r>
            <w:r>
              <w:t>he relevant tests and test results used to determine the degree of competition for that kind of insurance.</w:t>
            </w:r>
          </w:p>
          <w:p w14:paraId="622AFD9A" w14:textId="495BB77F" w:rsidR="000226F7" w:rsidRDefault="0077593B" w:rsidP="00455E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establishes that, in the absence of such a finding with respect to a specific kind of insurance, a competitive marke</w:t>
            </w:r>
            <w:r w:rsidR="000C24A7">
              <w:t>t</w:t>
            </w:r>
            <w:r>
              <w:t xml:space="preserve"> is presumed to exist f</w:t>
            </w:r>
            <w:r>
              <w:t>or that kind of insurance.</w:t>
            </w:r>
            <w:r w:rsidR="00D06B7F">
              <w:t xml:space="preserve"> </w:t>
            </w:r>
            <w:r w:rsidR="000753B8">
              <w:t xml:space="preserve"> </w:t>
            </w:r>
          </w:p>
          <w:p w14:paraId="079DF6D9" w14:textId="77777777" w:rsidR="000226F7" w:rsidRDefault="000226F7" w:rsidP="00455E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6C95A54" w14:textId="51A08A90" w:rsidR="004664D9" w:rsidRDefault="0077593B" w:rsidP="00455E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0226F7">
              <w:t>H.B. 2547</w:t>
            </w:r>
            <w:r w:rsidR="00D06B7F">
              <w:t xml:space="preserve"> </w:t>
            </w:r>
            <w:r w:rsidR="00C10F39">
              <w:t xml:space="preserve">authorizes the commissioner to adopt reasonable and necessary rules to implement the bill's provisions exempting lines of certain kinds of insurance from applicable rate and form filing requirements. The bill </w:t>
            </w:r>
            <w:r w:rsidR="00D06B7F">
              <w:t>makes certain restrictions on the provision of surplus lines insurance inapplicable to an insurance policy issued by an eligible surplus lines insurer for any line of the kinds of insurance</w:t>
            </w:r>
            <w:r w:rsidR="00C10F39">
              <w:t xml:space="preserve"> exempted under those provisions</w:t>
            </w:r>
            <w:r w:rsidR="00D06B7F">
              <w:t xml:space="preserve">, </w:t>
            </w:r>
            <w:r w:rsidR="00695018">
              <w:t xml:space="preserve">other than those for which the commissioner </w:t>
            </w:r>
            <w:r w:rsidR="00D06B7F">
              <w:t>has temporar</w:t>
            </w:r>
            <w:r w:rsidR="004C2F6A">
              <w:t>il</w:t>
            </w:r>
            <w:r w:rsidR="00D06B7F">
              <w:t xml:space="preserve">y reinstated the </w:t>
            </w:r>
            <w:r w:rsidR="000226F7">
              <w:t xml:space="preserve">rate and </w:t>
            </w:r>
            <w:r w:rsidR="000226F7" w:rsidRPr="00FF33DC">
              <w:t>form filing requirements</w:t>
            </w:r>
            <w:r w:rsidR="000226F7" w:rsidRPr="00E078A5">
              <w:t>.</w:t>
            </w:r>
            <w:r w:rsidR="000226F7">
              <w:t xml:space="preserve"> </w:t>
            </w:r>
          </w:p>
          <w:p w14:paraId="016642DE" w14:textId="7FB431AA" w:rsidR="008A788E" w:rsidRDefault="008A788E" w:rsidP="00455E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7CC7E68" w14:textId="7D96184E" w:rsidR="00EB2852" w:rsidRDefault="0077593B" w:rsidP="00455E61">
            <w:pPr>
              <w:pStyle w:val="Header"/>
              <w:jc w:val="both"/>
            </w:pPr>
            <w:r>
              <w:t>C.S.</w:t>
            </w:r>
            <w:r w:rsidR="008A788E">
              <w:t>H.B. 2547</w:t>
            </w:r>
            <w:r w:rsidR="000C24A7">
              <w:t xml:space="preserve"> makes the requirement for </w:t>
            </w:r>
            <w:r w:rsidR="008A788E">
              <w:t xml:space="preserve">an insurer to file with the commissioner </w:t>
            </w:r>
            <w:r w:rsidR="008A788E" w:rsidRPr="008A788E">
              <w:t>all rates, applicable rating manuals, supplementary rating information, and additional information as required by the commissioner</w:t>
            </w:r>
            <w:r w:rsidR="008A788E">
              <w:t xml:space="preserve"> </w:t>
            </w:r>
            <w:r w:rsidR="00250329">
              <w:t>inapplicable</w:t>
            </w:r>
            <w:r w:rsidR="008A788E">
              <w:t xml:space="preserve"> to rates for use with </w:t>
            </w:r>
            <w:r w:rsidR="008A788E" w:rsidRPr="00E078A5">
              <w:t>an insured that has</w:t>
            </w:r>
            <w:r w:rsidR="00E078A5">
              <w:t xml:space="preserve"> the following</w:t>
            </w:r>
            <w:r w:rsidRPr="00E078A5">
              <w:t>:</w:t>
            </w:r>
          </w:p>
          <w:p w14:paraId="6A4A9BFB" w14:textId="6628C4ED" w:rsidR="00EB2852" w:rsidRDefault="0077593B" w:rsidP="00455E61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total insured property values of $5 million or more; </w:t>
            </w:r>
          </w:p>
          <w:p w14:paraId="1F4CABBC" w14:textId="77777777" w:rsidR="00EB2852" w:rsidRDefault="0077593B" w:rsidP="00455E61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total annual gross revenues of $10 million or more; or </w:t>
            </w:r>
          </w:p>
          <w:p w14:paraId="4854326B" w14:textId="2CE2B18B" w:rsidR="008A788E" w:rsidRPr="009C36CD" w:rsidRDefault="0077593B" w:rsidP="00455E61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 total premium of $25,000 or more for prope</w:t>
            </w:r>
            <w:r>
              <w:t>rty insurance, $25,000 or more for general liability insurance, or $50,000 or more for multi</w:t>
            </w:r>
            <w:r w:rsidR="000753B8">
              <w:t>-</w:t>
            </w:r>
            <w:r>
              <w:t>peril insurance.</w:t>
            </w:r>
          </w:p>
          <w:p w14:paraId="55C0009E" w14:textId="77777777" w:rsidR="008423E4" w:rsidRPr="00835628" w:rsidRDefault="008423E4" w:rsidP="00455E61">
            <w:pPr>
              <w:rPr>
                <w:b/>
              </w:rPr>
            </w:pPr>
          </w:p>
        </w:tc>
      </w:tr>
      <w:tr w:rsidR="00A44115" w14:paraId="26083139" w14:textId="77777777" w:rsidTr="00006CBD">
        <w:tc>
          <w:tcPr>
            <w:tcW w:w="9360" w:type="dxa"/>
          </w:tcPr>
          <w:p w14:paraId="789D8FE3" w14:textId="77777777" w:rsidR="008423E4" w:rsidRPr="00A8133F" w:rsidRDefault="0077593B" w:rsidP="00455E6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FA5F472" w14:textId="77777777" w:rsidR="008423E4" w:rsidRDefault="008423E4" w:rsidP="00455E61"/>
          <w:p w14:paraId="2C9F925B" w14:textId="77777777" w:rsidR="008423E4" w:rsidRPr="003624F2" w:rsidRDefault="0077593B" w:rsidP="00455E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00BE77D7" w14:textId="77777777" w:rsidR="008423E4" w:rsidRPr="00233FDB" w:rsidRDefault="008423E4" w:rsidP="00455E61">
            <w:pPr>
              <w:rPr>
                <w:b/>
              </w:rPr>
            </w:pPr>
          </w:p>
        </w:tc>
      </w:tr>
      <w:tr w:rsidR="00A44115" w14:paraId="420E38D4" w14:textId="77777777" w:rsidTr="00006CBD">
        <w:tc>
          <w:tcPr>
            <w:tcW w:w="9360" w:type="dxa"/>
          </w:tcPr>
          <w:p w14:paraId="0381F1E9" w14:textId="77777777" w:rsidR="00EE1AF9" w:rsidRDefault="0077593B" w:rsidP="00455E6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111FF71D" w14:textId="77777777" w:rsidR="00EE210C" w:rsidRDefault="00EE210C" w:rsidP="00455E61">
            <w:pPr>
              <w:jc w:val="both"/>
            </w:pPr>
          </w:p>
          <w:p w14:paraId="299CC593" w14:textId="4CBE1355" w:rsidR="009F4AFA" w:rsidRDefault="0077593B" w:rsidP="00455E61">
            <w:pPr>
              <w:jc w:val="both"/>
            </w:pPr>
            <w:r>
              <w:t xml:space="preserve">C.S.H.B. 2547 differs from the original in minor or nonsubstantive </w:t>
            </w:r>
            <w:r>
              <w:t>ways by conforming to certain bill drafting conventions.</w:t>
            </w:r>
          </w:p>
          <w:p w14:paraId="094BF54D" w14:textId="274766BA" w:rsidR="009F4AFA" w:rsidRPr="00006CBD" w:rsidRDefault="009F4AFA" w:rsidP="00455E61">
            <w:pPr>
              <w:jc w:val="both"/>
              <w:rPr>
                <w:sz w:val="2"/>
                <w:szCs w:val="2"/>
              </w:rPr>
            </w:pPr>
          </w:p>
        </w:tc>
      </w:tr>
    </w:tbl>
    <w:p w14:paraId="13F0A0D7" w14:textId="77777777" w:rsidR="004108C3" w:rsidRPr="00006CBD" w:rsidRDefault="004108C3" w:rsidP="00455E61">
      <w:pPr>
        <w:rPr>
          <w:sz w:val="2"/>
          <w:szCs w:val="2"/>
        </w:rPr>
      </w:pPr>
    </w:p>
    <w:sectPr w:rsidR="004108C3" w:rsidRPr="00006CBD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A1ACF" w14:textId="77777777" w:rsidR="00000000" w:rsidRDefault="0077593B">
      <w:r>
        <w:separator/>
      </w:r>
    </w:p>
  </w:endnote>
  <w:endnote w:type="continuationSeparator" w:id="0">
    <w:p w14:paraId="6F37F610" w14:textId="77777777" w:rsidR="00000000" w:rsidRDefault="0077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60245" w14:textId="77777777" w:rsidR="00006CBD" w:rsidRDefault="00006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44115" w14:paraId="15D1839B" w14:textId="77777777" w:rsidTr="009C1E9A">
      <w:trPr>
        <w:cantSplit/>
      </w:trPr>
      <w:tc>
        <w:tcPr>
          <w:tcW w:w="0" w:type="pct"/>
        </w:tcPr>
        <w:p w14:paraId="130ACF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0B75A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0E529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8369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96153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44115" w14:paraId="6A817FB3" w14:textId="77777777" w:rsidTr="009C1E9A">
      <w:trPr>
        <w:cantSplit/>
      </w:trPr>
      <w:tc>
        <w:tcPr>
          <w:tcW w:w="0" w:type="pct"/>
        </w:tcPr>
        <w:p w14:paraId="21B2A0E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D44421" w14:textId="6D65D570" w:rsidR="00EC379B" w:rsidRPr="009C1E9A" w:rsidRDefault="0077593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17944</w:t>
          </w:r>
        </w:p>
      </w:tc>
      <w:tc>
        <w:tcPr>
          <w:tcW w:w="2453" w:type="pct"/>
        </w:tcPr>
        <w:p w14:paraId="564685A2" w14:textId="36BAB17E" w:rsidR="00EC379B" w:rsidRDefault="0077593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C1039">
            <w:t>21.91.981</w:t>
          </w:r>
          <w:r>
            <w:fldChar w:fldCharType="end"/>
          </w:r>
        </w:p>
      </w:tc>
    </w:tr>
    <w:tr w:rsidR="00A44115" w14:paraId="20B11186" w14:textId="77777777" w:rsidTr="009C1E9A">
      <w:trPr>
        <w:cantSplit/>
      </w:trPr>
      <w:tc>
        <w:tcPr>
          <w:tcW w:w="0" w:type="pct"/>
        </w:tcPr>
        <w:p w14:paraId="050CECC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BE4D766" w14:textId="42164270" w:rsidR="00EC379B" w:rsidRPr="009C1E9A" w:rsidRDefault="0077593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17281</w:t>
          </w:r>
        </w:p>
      </w:tc>
      <w:tc>
        <w:tcPr>
          <w:tcW w:w="2453" w:type="pct"/>
        </w:tcPr>
        <w:p w14:paraId="752851F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6DDA93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44115" w14:paraId="695E195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3FA0F28" w14:textId="483CECD4" w:rsidR="00EC379B" w:rsidRDefault="0077593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55E6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6B24445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9FEFBB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32A80" w14:textId="77777777" w:rsidR="00006CBD" w:rsidRDefault="00006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C9B17" w14:textId="77777777" w:rsidR="00000000" w:rsidRDefault="0077593B">
      <w:r>
        <w:separator/>
      </w:r>
    </w:p>
  </w:footnote>
  <w:footnote w:type="continuationSeparator" w:id="0">
    <w:p w14:paraId="4DA040DE" w14:textId="77777777" w:rsidR="00000000" w:rsidRDefault="00775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10DE" w14:textId="77777777" w:rsidR="00006CBD" w:rsidRDefault="00006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DDDB9" w14:textId="77777777" w:rsidR="00006CBD" w:rsidRDefault="00006C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CB400" w14:textId="77777777" w:rsidR="00006CBD" w:rsidRDefault="00006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25E47"/>
    <w:multiLevelType w:val="hybridMultilevel"/>
    <w:tmpl w:val="3AF6655C"/>
    <w:lvl w:ilvl="0" w:tplc="6DD01B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CCE44D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E0976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BA4072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C9ABEA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FFA00D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DB28FD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E42DBA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4B6BCF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6B826A3"/>
    <w:multiLevelType w:val="hybridMultilevel"/>
    <w:tmpl w:val="F2F081A6"/>
    <w:lvl w:ilvl="0" w:tplc="BCC2F2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49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4C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89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A9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868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26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0E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FA3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136E2"/>
    <w:multiLevelType w:val="hybridMultilevel"/>
    <w:tmpl w:val="8BEC68E0"/>
    <w:lvl w:ilvl="0" w:tplc="75F6B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E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E8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44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67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AA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AA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185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42DF0"/>
    <w:multiLevelType w:val="hybridMultilevel"/>
    <w:tmpl w:val="F2F8C7EE"/>
    <w:lvl w:ilvl="0" w:tplc="A4AE53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84B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9C3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02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E5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00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ED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E8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02B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9B"/>
    <w:rsid w:val="00000A70"/>
    <w:rsid w:val="000032B8"/>
    <w:rsid w:val="00003B06"/>
    <w:rsid w:val="000054B9"/>
    <w:rsid w:val="00006CBD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6F7"/>
    <w:rsid w:val="000236C1"/>
    <w:rsid w:val="000236EC"/>
    <w:rsid w:val="0002413D"/>
    <w:rsid w:val="0002479F"/>
    <w:rsid w:val="000249F2"/>
    <w:rsid w:val="00025192"/>
    <w:rsid w:val="00026C8C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3B8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039"/>
    <w:rsid w:val="000C12C4"/>
    <w:rsid w:val="000C24A7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2A81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1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2F0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0B4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329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421A"/>
    <w:rsid w:val="002E7DF9"/>
    <w:rsid w:val="002F097B"/>
    <w:rsid w:val="002F0B66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0B1B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2C6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BD8"/>
    <w:rsid w:val="00452FC3"/>
    <w:rsid w:val="00455936"/>
    <w:rsid w:val="00455ACE"/>
    <w:rsid w:val="00455E61"/>
    <w:rsid w:val="00461B69"/>
    <w:rsid w:val="00462B3D"/>
    <w:rsid w:val="004664D9"/>
    <w:rsid w:val="004746C2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235C"/>
    <w:rsid w:val="004C2F6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DCE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018"/>
    <w:rsid w:val="00695101"/>
    <w:rsid w:val="00695B9A"/>
    <w:rsid w:val="00696563"/>
    <w:rsid w:val="00696A3D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93B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9D7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E60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6D27"/>
    <w:rsid w:val="008A788E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00D8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059F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AF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56D"/>
    <w:rsid w:val="00A220FF"/>
    <w:rsid w:val="00A227E0"/>
    <w:rsid w:val="00A232E4"/>
    <w:rsid w:val="00A24AAD"/>
    <w:rsid w:val="00A26A8A"/>
    <w:rsid w:val="00A27255"/>
    <w:rsid w:val="00A30F46"/>
    <w:rsid w:val="00A32304"/>
    <w:rsid w:val="00A3420E"/>
    <w:rsid w:val="00A35D66"/>
    <w:rsid w:val="00A41085"/>
    <w:rsid w:val="00A425FA"/>
    <w:rsid w:val="00A43960"/>
    <w:rsid w:val="00A44115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E5F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1CE"/>
    <w:rsid w:val="00B82454"/>
    <w:rsid w:val="00B8699B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CE4"/>
    <w:rsid w:val="00C013F4"/>
    <w:rsid w:val="00C040AB"/>
    <w:rsid w:val="00C0499B"/>
    <w:rsid w:val="00C05406"/>
    <w:rsid w:val="00C05CF0"/>
    <w:rsid w:val="00C10F39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72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666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44D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0F1"/>
    <w:rsid w:val="00CF4827"/>
    <w:rsid w:val="00CF4C69"/>
    <w:rsid w:val="00CF581C"/>
    <w:rsid w:val="00CF71E0"/>
    <w:rsid w:val="00D001B1"/>
    <w:rsid w:val="00D0159B"/>
    <w:rsid w:val="00D03176"/>
    <w:rsid w:val="00D060A8"/>
    <w:rsid w:val="00D06605"/>
    <w:rsid w:val="00D06B7F"/>
    <w:rsid w:val="00D06DB4"/>
    <w:rsid w:val="00D0714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A07"/>
    <w:rsid w:val="00D91B92"/>
    <w:rsid w:val="00D91F08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078A5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2852"/>
    <w:rsid w:val="00EB3928"/>
    <w:rsid w:val="00EB5373"/>
    <w:rsid w:val="00EC02A2"/>
    <w:rsid w:val="00EC379B"/>
    <w:rsid w:val="00EC37DF"/>
    <w:rsid w:val="00EC41B1"/>
    <w:rsid w:val="00EC4345"/>
    <w:rsid w:val="00ED0665"/>
    <w:rsid w:val="00ED12C0"/>
    <w:rsid w:val="00ED19F0"/>
    <w:rsid w:val="00ED2B50"/>
    <w:rsid w:val="00ED3A32"/>
    <w:rsid w:val="00ED3BDE"/>
    <w:rsid w:val="00ED68FB"/>
    <w:rsid w:val="00ED783A"/>
    <w:rsid w:val="00EE1AF9"/>
    <w:rsid w:val="00EE210C"/>
    <w:rsid w:val="00EE2E34"/>
    <w:rsid w:val="00EE2E91"/>
    <w:rsid w:val="00EE43A2"/>
    <w:rsid w:val="00EE46B7"/>
    <w:rsid w:val="00EE5A49"/>
    <w:rsid w:val="00EE664B"/>
    <w:rsid w:val="00EE7748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118"/>
    <w:rsid w:val="00F15223"/>
    <w:rsid w:val="00F164B4"/>
    <w:rsid w:val="00F176E4"/>
    <w:rsid w:val="00F20E5F"/>
    <w:rsid w:val="00F25CC2"/>
    <w:rsid w:val="00F27573"/>
    <w:rsid w:val="00F31876"/>
    <w:rsid w:val="00F31C67"/>
    <w:rsid w:val="00F36356"/>
    <w:rsid w:val="00F36FE0"/>
    <w:rsid w:val="00F37EA8"/>
    <w:rsid w:val="00F37F2D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515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3DC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BE712A-374A-440A-8215-E8296094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015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15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15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1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159B"/>
    <w:rPr>
      <w:b/>
      <w:bCs/>
    </w:rPr>
  </w:style>
  <w:style w:type="character" w:styleId="Hyperlink">
    <w:name w:val="Hyperlink"/>
    <w:basedOn w:val="DefaultParagraphFont"/>
    <w:unhideWhenUsed/>
    <w:rsid w:val="00D85A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2BD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251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4367</Characters>
  <Application>Microsoft Office Word</Application>
  <DocSecurity>4</DocSecurity>
  <Lines>103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HB02547 (Committee Report (Substituted))</vt:lpstr>
    </vt:vector>
  </TitlesOfParts>
  <Company>State of Texas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17944</dc:subject>
  <dc:creator>State of Texas</dc:creator>
  <dc:description>HB 2547 by Oliverson-(H)Insurance (Substitute Document Number: 87R 17281)</dc:description>
  <cp:lastModifiedBy>Thomas Weis</cp:lastModifiedBy>
  <cp:revision>2</cp:revision>
  <cp:lastPrinted>2003-11-26T17:21:00Z</cp:lastPrinted>
  <dcterms:created xsi:type="dcterms:W3CDTF">2021-04-15T16:15:00Z</dcterms:created>
  <dcterms:modified xsi:type="dcterms:W3CDTF">2021-04-15T16:15:00Z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21.91.981</vt:lpwstr>
  </property>
</Properties>
</file>