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A02FB" w14:paraId="16F8FB76" w14:textId="77777777" w:rsidTr="00345119">
        <w:tc>
          <w:tcPr>
            <w:tcW w:w="9576" w:type="dxa"/>
            <w:noWrap/>
          </w:tcPr>
          <w:p w14:paraId="5272BE3D" w14:textId="77777777" w:rsidR="008423E4" w:rsidRPr="0022177D" w:rsidRDefault="0072009B" w:rsidP="004E774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8D3946A" w14:textId="77777777" w:rsidR="008423E4" w:rsidRPr="0022177D" w:rsidRDefault="008423E4" w:rsidP="004E7746">
      <w:pPr>
        <w:jc w:val="center"/>
      </w:pPr>
    </w:p>
    <w:p w14:paraId="17F18957" w14:textId="77777777" w:rsidR="008423E4" w:rsidRPr="00B31F0E" w:rsidRDefault="008423E4" w:rsidP="004E7746"/>
    <w:p w14:paraId="282E987D" w14:textId="77777777" w:rsidR="008423E4" w:rsidRPr="00742794" w:rsidRDefault="008423E4" w:rsidP="004E774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A02FB" w14:paraId="7B4ADDAB" w14:textId="77777777" w:rsidTr="00345119">
        <w:tc>
          <w:tcPr>
            <w:tcW w:w="9576" w:type="dxa"/>
          </w:tcPr>
          <w:p w14:paraId="1E9CAAA2" w14:textId="7D6F721E" w:rsidR="008423E4" w:rsidRPr="00861995" w:rsidRDefault="0072009B" w:rsidP="004E7746">
            <w:pPr>
              <w:jc w:val="right"/>
            </w:pPr>
            <w:r>
              <w:t>C.S.H.B. 2555</w:t>
            </w:r>
          </w:p>
        </w:tc>
      </w:tr>
      <w:tr w:rsidR="006A02FB" w14:paraId="279E8040" w14:textId="77777777" w:rsidTr="00345119">
        <w:tc>
          <w:tcPr>
            <w:tcW w:w="9576" w:type="dxa"/>
          </w:tcPr>
          <w:p w14:paraId="0226DAA4" w14:textId="6AACB442" w:rsidR="008423E4" w:rsidRPr="00861995" w:rsidRDefault="0072009B" w:rsidP="004E7746">
            <w:pPr>
              <w:jc w:val="right"/>
            </w:pPr>
            <w:r>
              <w:t xml:space="preserve">By: </w:t>
            </w:r>
            <w:r w:rsidR="0076515E">
              <w:t>Neave</w:t>
            </w:r>
          </w:p>
        </w:tc>
      </w:tr>
      <w:tr w:rsidR="006A02FB" w14:paraId="627ABB5F" w14:textId="77777777" w:rsidTr="00345119">
        <w:tc>
          <w:tcPr>
            <w:tcW w:w="9576" w:type="dxa"/>
          </w:tcPr>
          <w:p w14:paraId="06AAD359" w14:textId="09EAB713" w:rsidR="008423E4" w:rsidRPr="00861995" w:rsidRDefault="0072009B" w:rsidP="004E7746">
            <w:pPr>
              <w:jc w:val="right"/>
            </w:pPr>
            <w:r>
              <w:t>Homeland Security &amp; Public Safety</w:t>
            </w:r>
          </w:p>
        </w:tc>
      </w:tr>
      <w:tr w:rsidR="006A02FB" w14:paraId="6EEB84FB" w14:textId="77777777" w:rsidTr="00345119">
        <w:tc>
          <w:tcPr>
            <w:tcW w:w="9576" w:type="dxa"/>
          </w:tcPr>
          <w:p w14:paraId="197314A4" w14:textId="4FE95A0F" w:rsidR="008423E4" w:rsidRDefault="0072009B" w:rsidP="004E7746">
            <w:pPr>
              <w:jc w:val="right"/>
            </w:pPr>
            <w:r>
              <w:t>Committee Report (Substituted)</w:t>
            </w:r>
          </w:p>
        </w:tc>
      </w:tr>
    </w:tbl>
    <w:p w14:paraId="5C59943B" w14:textId="77777777" w:rsidR="008423E4" w:rsidRDefault="008423E4" w:rsidP="004E7746">
      <w:pPr>
        <w:tabs>
          <w:tab w:val="right" w:pos="9360"/>
        </w:tabs>
      </w:pPr>
    </w:p>
    <w:p w14:paraId="73988FCB" w14:textId="77777777" w:rsidR="008423E4" w:rsidRDefault="008423E4" w:rsidP="004E7746"/>
    <w:p w14:paraId="3ED16252" w14:textId="77777777" w:rsidR="008423E4" w:rsidRDefault="008423E4" w:rsidP="004E774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A02FB" w14:paraId="40818B0E" w14:textId="77777777" w:rsidTr="00345119">
        <w:tc>
          <w:tcPr>
            <w:tcW w:w="9576" w:type="dxa"/>
          </w:tcPr>
          <w:p w14:paraId="01B5BC22" w14:textId="77777777" w:rsidR="008423E4" w:rsidRPr="00A8133F" w:rsidRDefault="0072009B" w:rsidP="004E774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3FF1DBF" w14:textId="77777777" w:rsidR="008423E4" w:rsidRDefault="008423E4" w:rsidP="004E7746"/>
          <w:p w14:paraId="5D250779" w14:textId="2A794001" w:rsidR="008423E4" w:rsidRDefault="0072009B" w:rsidP="004E7746">
            <w:pPr>
              <w:pStyle w:val="Header"/>
              <w:jc w:val="both"/>
            </w:pPr>
            <w:r>
              <w:t xml:space="preserve">In 2019, the Texas Legislature passed the Lavinia Masters Act and appropriated </w:t>
            </w:r>
            <w:r w:rsidR="00B338D3">
              <w:t xml:space="preserve">roughly </w:t>
            </w:r>
            <w:r>
              <w:t>$50</w:t>
            </w:r>
            <w:r w:rsidR="004E7746">
              <w:t> </w:t>
            </w:r>
            <w:r>
              <w:t xml:space="preserve">million dollars in additional funding for the tracking, collection, and analysis of sexual assault evidence collection kits in Texas. The DNA evidence collected is used to find </w:t>
            </w:r>
            <w:r w:rsidR="00BD06F8">
              <w:t>"</w:t>
            </w:r>
            <w:r>
              <w:t>hits</w:t>
            </w:r>
            <w:r w:rsidR="00BD06F8">
              <w:t>"</w:t>
            </w:r>
            <w:r>
              <w:t xml:space="preserve"> or DNA matches to find the perpetrator of the crime. This funding allowe</w:t>
            </w:r>
            <w:r>
              <w:t>d for more evidence to be tested and has resulted in an 80</w:t>
            </w:r>
            <w:r w:rsidR="006C114D">
              <w:t xml:space="preserve"> percent</w:t>
            </w:r>
            <w:r>
              <w:t xml:space="preserve"> reduction of the rape kit backlog. Over the past two years, the Governor</w:t>
            </w:r>
            <w:r w:rsidR="00BD06F8">
              <w:t>'</w:t>
            </w:r>
            <w:r>
              <w:t xml:space="preserve">s Sexual Assault Survivors' Task Force has evaluated existing practices </w:t>
            </w:r>
            <w:r w:rsidR="005E6ED1">
              <w:t>addressing</w:t>
            </w:r>
            <w:r>
              <w:t xml:space="preserve"> sexual violence in Texas and has </w:t>
            </w:r>
            <w:r>
              <w:t xml:space="preserve">developed recommendations </w:t>
            </w:r>
            <w:r w:rsidR="00DE14EB">
              <w:t>for conducting</w:t>
            </w:r>
            <w:r>
              <w:t xml:space="preserve"> forensic medical examinations and evidence tracking. C</w:t>
            </w:r>
            <w:r w:rsidR="00B338D3">
              <w:t>.</w:t>
            </w:r>
            <w:r>
              <w:t>S</w:t>
            </w:r>
            <w:r w:rsidR="00B338D3">
              <w:t>.</w:t>
            </w:r>
            <w:r>
              <w:t>H</w:t>
            </w:r>
            <w:r w:rsidR="00B338D3">
              <w:t>.</w:t>
            </w:r>
            <w:r>
              <w:t>B</w:t>
            </w:r>
            <w:r w:rsidR="00B338D3">
              <w:t>.</w:t>
            </w:r>
            <w:r>
              <w:t xml:space="preserve"> 2555 </w:t>
            </w:r>
            <w:r w:rsidR="00B338D3">
              <w:t xml:space="preserve">seeks to enact certain of these recommendations and </w:t>
            </w:r>
            <w:r>
              <w:t xml:space="preserve">enhance accountability for </w:t>
            </w:r>
            <w:r w:rsidR="00B338D3">
              <w:t xml:space="preserve">the </w:t>
            </w:r>
            <w:r>
              <w:t xml:space="preserve">collection, tracking, and analysis of evidence </w:t>
            </w:r>
            <w:r w:rsidR="00B338D3">
              <w:t xml:space="preserve">collected in the examination of a sexual assault or other sex offense. </w:t>
            </w:r>
          </w:p>
          <w:p w14:paraId="709C8AB1" w14:textId="77777777" w:rsidR="008423E4" w:rsidRPr="00E26B13" w:rsidRDefault="008423E4" w:rsidP="004E7746">
            <w:pPr>
              <w:rPr>
                <w:b/>
              </w:rPr>
            </w:pPr>
          </w:p>
        </w:tc>
      </w:tr>
      <w:tr w:rsidR="006A02FB" w14:paraId="7E16A8EF" w14:textId="77777777" w:rsidTr="00345119">
        <w:tc>
          <w:tcPr>
            <w:tcW w:w="9576" w:type="dxa"/>
          </w:tcPr>
          <w:p w14:paraId="44C08183" w14:textId="77777777" w:rsidR="0017725B" w:rsidRDefault="0072009B" w:rsidP="004E77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83547DF" w14:textId="77777777" w:rsidR="0017725B" w:rsidRDefault="0017725B" w:rsidP="004E7746">
            <w:pPr>
              <w:rPr>
                <w:b/>
                <w:u w:val="single"/>
              </w:rPr>
            </w:pPr>
          </w:p>
          <w:p w14:paraId="1F130237" w14:textId="77777777" w:rsidR="00467759" w:rsidRPr="00467759" w:rsidRDefault="0072009B" w:rsidP="004E774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</w:t>
            </w:r>
            <w:r>
              <w:t xml:space="preserve"> change the eligibility of a person for community supervision, parole, or mandatory supervision.</w:t>
            </w:r>
          </w:p>
          <w:p w14:paraId="3748C768" w14:textId="77777777" w:rsidR="0017725B" w:rsidRPr="0017725B" w:rsidRDefault="0017725B" w:rsidP="004E7746">
            <w:pPr>
              <w:rPr>
                <w:b/>
                <w:u w:val="single"/>
              </w:rPr>
            </w:pPr>
          </w:p>
        </w:tc>
      </w:tr>
      <w:tr w:rsidR="006A02FB" w14:paraId="48D870B0" w14:textId="77777777" w:rsidTr="00345119">
        <w:tc>
          <w:tcPr>
            <w:tcW w:w="9576" w:type="dxa"/>
          </w:tcPr>
          <w:p w14:paraId="465BD5F4" w14:textId="77777777" w:rsidR="008423E4" w:rsidRPr="00A8133F" w:rsidRDefault="0072009B" w:rsidP="004E774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C2BD8AB" w14:textId="77777777" w:rsidR="008423E4" w:rsidRDefault="008423E4" w:rsidP="004E7746"/>
          <w:p w14:paraId="4923E898" w14:textId="77777777" w:rsidR="00467759" w:rsidRDefault="0072009B" w:rsidP="004E77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</w:t>
            </w:r>
            <w:r>
              <w:t>nt, agency, or institution.</w:t>
            </w:r>
          </w:p>
          <w:p w14:paraId="019EEC35" w14:textId="77777777" w:rsidR="008423E4" w:rsidRPr="00E21FDC" w:rsidRDefault="008423E4" w:rsidP="004E7746">
            <w:pPr>
              <w:rPr>
                <w:b/>
              </w:rPr>
            </w:pPr>
          </w:p>
        </w:tc>
      </w:tr>
      <w:tr w:rsidR="006A02FB" w14:paraId="42BD127B" w14:textId="77777777" w:rsidTr="00345119">
        <w:tc>
          <w:tcPr>
            <w:tcW w:w="9576" w:type="dxa"/>
          </w:tcPr>
          <w:p w14:paraId="3267FC10" w14:textId="77777777" w:rsidR="008423E4" w:rsidRPr="00A8133F" w:rsidRDefault="0072009B" w:rsidP="004E774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A3DB4DF" w14:textId="77777777" w:rsidR="008423E4" w:rsidRDefault="008423E4" w:rsidP="004E7746"/>
          <w:p w14:paraId="2332AF0E" w14:textId="4F1A3B09" w:rsidR="00BA776B" w:rsidRDefault="0072009B" w:rsidP="004E77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06216C">
              <w:t xml:space="preserve">H.B. 2555 amends the </w:t>
            </w:r>
            <w:r w:rsidR="0006216C" w:rsidRPr="0006216C">
              <w:t>Government Code</w:t>
            </w:r>
            <w:r w:rsidR="0006216C">
              <w:t xml:space="preserve"> to require the </w:t>
            </w:r>
            <w:r w:rsidR="0006216C" w:rsidRPr="0006216C">
              <w:t>statewide electronic tracking system for evidence collected in relation to a sexual assault or other sex offense</w:t>
            </w:r>
            <w:r w:rsidR="0006216C">
              <w:t xml:space="preserve"> to include </w:t>
            </w:r>
            <w:r>
              <w:t>the</w:t>
            </w:r>
            <w:r w:rsidRPr="0006216C">
              <w:t xml:space="preserve"> </w:t>
            </w:r>
            <w:r w:rsidR="0006216C" w:rsidRPr="0006216C">
              <w:t xml:space="preserve">evidence </w:t>
            </w:r>
            <w:r>
              <w:t xml:space="preserve">collection kit </w:t>
            </w:r>
            <w:r w:rsidRPr="002D26B9">
              <w:t>and any</w:t>
            </w:r>
            <w:r w:rsidRPr="002D26B9">
              <w:t xml:space="preserve"> other items collected during the forensic medical examination in relation to a</w:t>
            </w:r>
            <w:r w:rsidR="00EB49CD">
              <w:t>n applicable</w:t>
            </w:r>
            <w:r w:rsidRPr="002D26B9">
              <w:t xml:space="preserve"> offense</w:t>
            </w:r>
            <w:r w:rsidR="0006216C">
              <w:t xml:space="preserve">, </w:t>
            </w:r>
            <w:r w:rsidR="0006216C" w:rsidRPr="0006216C">
              <w:t xml:space="preserve">regardless of whether </w:t>
            </w:r>
            <w:r>
              <w:t xml:space="preserve">the </w:t>
            </w:r>
            <w:r w:rsidR="0006216C" w:rsidRPr="0006216C">
              <w:t>evidence is collected in relation to an individual who is alive or deceased</w:t>
            </w:r>
            <w:r w:rsidR="0006216C">
              <w:t xml:space="preserve">. The bill </w:t>
            </w:r>
            <w:r w:rsidR="00917394">
              <w:t>requires</w:t>
            </w:r>
            <w:r>
              <w:t xml:space="preserve"> the </w:t>
            </w:r>
            <w:r w:rsidRPr="00BA776B">
              <w:t>Department of Public Safety</w:t>
            </w:r>
            <w:r w:rsidR="004B63CF">
              <w:t xml:space="preserve"> (DPS)</w:t>
            </w:r>
            <w:r w:rsidRPr="00BA776B">
              <w:t xml:space="preserve"> </w:t>
            </w:r>
            <w:r>
              <w:t xml:space="preserve">to submit </w:t>
            </w:r>
            <w:r w:rsidR="00917394">
              <w:t xml:space="preserve">a </w:t>
            </w:r>
            <w:r>
              <w:t xml:space="preserve">report to the </w:t>
            </w:r>
            <w:r w:rsidRPr="00BA776B">
              <w:t>governor, lieutenant governor, speaker of the house of representatives, and members of the legislature</w:t>
            </w:r>
            <w:r w:rsidR="00917394">
              <w:t xml:space="preserve"> not later than December 1 of each year </w:t>
            </w:r>
            <w:r>
              <w:t xml:space="preserve">titled </w:t>
            </w:r>
            <w:r w:rsidRPr="00BA776B">
              <w:t>"Statewide Electronic Tracking System Report"</w:t>
            </w:r>
            <w:r w:rsidR="00917394">
              <w:t xml:space="preserve"> </w:t>
            </w:r>
            <w:r w:rsidR="002C2D05">
              <w:t>and identifying</w:t>
            </w:r>
            <w:r w:rsidR="00917394" w:rsidRPr="00917394">
              <w:t xml:space="preserve"> the number of evidence collection kits that have</w:t>
            </w:r>
            <w:r w:rsidR="00917394">
              <w:t xml:space="preserve"> n</w:t>
            </w:r>
            <w:r w:rsidR="00917394" w:rsidRPr="00917394">
              <w:t>ot yet been submitted for laboratory analysis or for which the</w:t>
            </w:r>
            <w:r w:rsidR="00917394">
              <w:t xml:space="preserve"> </w:t>
            </w:r>
            <w:r w:rsidR="00917394" w:rsidRPr="00917394">
              <w:t>laboratory analysis has not yet been completed</w:t>
            </w:r>
            <w:r w:rsidR="00917394">
              <w:t>, as applicable</w:t>
            </w:r>
            <w:r w:rsidRPr="00BA776B">
              <w:t>.</w:t>
            </w:r>
            <w:r w:rsidR="00467759">
              <w:t xml:space="preserve"> </w:t>
            </w:r>
            <w:r w:rsidR="004B63CF">
              <w:t xml:space="preserve">The bill removes the standalone requirement for each law enforcement agency and public accredited crime laboratory to submit a quarterly report to DPS that contains that same information. </w:t>
            </w:r>
          </w:p>
          <w:p w14:paraId="370BCF25" w14:textId="564FF1A0" w:rsidR="002D26B9" w:rsidRDefault="002D26B9" w:rsidP="004E77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08333AC" w14:textId="05726A7C" w:rsidR="00DC2ACC" w:rsidRDefault="0072009B" w:rsidP="004E77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2555 requires a health </w:t>
            </w:r>
            <w:r w:rsidRPr="002D26B9">
              <w:t xml:space="preserve">care facility or other entity that performs a medical examination to collect evidence of </w:t>
            </w:r>
            <w:r>
              <w:t>a sexual assault or other</w:t>
            </w:r>
            <w:r w:rsidRPr="002D26B9">
              <w:t xml:space="preserve"> sex offense</w:t>
            </w:r>
            <w:r w:rsidR="00EB49CD">
              <w:t xml:space="preserve"> and receives the consent necessary to release </w:t>
            </w:r>
            <w:r w:rsidR="008C05BD">
              <w:t xml:space="preserve">the </w:t>
            </w:r>
            <w:r w:rsidR="00EB49CD">
              <w:t>evidence</w:t>
            </w:r>
            <w:r>
              <w:t xml:space="preserve"> to enter the </w:t>
            </w:r>
            <w:r w:rsidRPr="002D26B9">
              <w:t>identification number of the evidence collection kit into the statewide electronic tracking system</w:t>
            </w:r>
            <w:r>
              <w:t xml:space="preserve"> not later than two business days after the date the examination is performed. </w:t>
            </w:r>
          </w:p>
          <w:p w14:paraId="7F777BF6" w14:textId="77777777" w:rsidR="00DC2ACC" w:rsidRDefault="00DC2ACC" w:rsidP="004E77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BF4EC9B" w14:textId="6DC460A9" w:rsidR="001C3E1C" w:rsidRDefault="0072009B" w:rsidP="004E77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2555</w:t>
            </w:r>
            <w:r w:rsidR="002D26B9">
              <w:t xml:space="preserve"> </w:t>
            </w:r>
            <w:r w:rsidR="00723C2C">
              <w:t xml:space="preserve">requires a </w:t>
            </w:r>
            <w:r w:rsidR="00723C2C" w:rsidRPr="00723C2C">
              <w:t xml:space="preserve">law enforcement agency that fails to submit evidence of a sexual assault or other sex offense to a public accredited crime laboratory </w:t>
            </w:r>
            <w:r>
              <w:t xml:space="preserve">within the period required by law </w:t>
            </w:r>
            <w:r w:rsidR="00723C2C">
              <w:t>to provide written documentation</w:t>
            </w:r>
            <w:r w:rsidR="00C1771B">
              <w:t xml:space="preserve"> of the failure, including a detailed explanation,</w:t>
            </w:r>
            <w:r w:rsidR="00723C2C">
              <w:t xml:space="preserve"> </w:t>
            </w:r>
            <w:r>
              <w:t xml:space="preserve">to </w:t>
            </w:r>
            <w:r w:rsidR="005F3166">
              <w:t>DPS</w:t>
            </w:r>
            <w:r w:rsidR="00C1771B">
              <w:t xml:space="preserve"> </w:t>
            </w:r>
            <w:r w:rsidR="00C1771B" w:rsidRPr="00C1771B">
              <w:t xml:space="preserve">on or before the 30th day after the date on which the agency discovers that the evidence was not submitted within </w:t>
            </w:r>
            <w:r>
              <w:t>that</w:t>
            </w:r>
            <w:r w:rsidR="00C1771B">
              <w:t xml:space="preserve"> </w:t>
            </w:r>
            <w:r w:rsidR="00C1771B" w:rsidRPr="00C1771B">
              <w:t>period</w:t>
            </w:r>
            <w:r w:rsidR="00C1771B">
              <w:t xml:space="preserve">. </w:t>
            </w:r>
          </w:p>
          <w:p w14:paraId="78DDB353" w14:textId="77777777" w:rsidR="001C3E1C" w:rsidRDefault="001C3E1C" w:rsidP="004E77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14A6195" w14:textId="4A8FF7A7" w:rsidR="007D0057" w:rsidRPr="009C36CD" w:rsidRDefault="0072009B" w:rsidP="004E77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2555 </w:t>
            </w:r>
            <w:r w:rsidRPr="001C3E1C">
              <w:t>authorize</w:t>
            </w:r>
            <w:r>
              <w:t>s</w:t>
            </w:r>
            <w:r w:rsidRPr="001C3E1C">
              <w:t xml:space="preserve"> the failure to comply with </w:t>
            </w:r>
            <w:r w:rsidR="00F33C99">
              <w:t xml:space="preserve">statutory </w:t>
            </w:r>
            <w:r>
              <w:t>provisions governing</w:t>
            </w:r>
            <w:r w:rsidR="00C1771B">
              <w:t xml:space="preserve"> the collection, preservation, and tracking of evidence of a sex offense </w:t>
            </w:r>
            <w:r>
              <w:t>to</w:t>
            </w:r>
            <w:r w:rsidR="00F33C99" w:rsidRPr="00F33C99">
              <w:t xml:space="preserve"> be used to determine eligibility for receiving</w:t>
            </w:r>
            <w:r>
              <w:t xml:space="preserve"> state</w:t>
            </w:r>
            <w:r w:rsidR="00F33C99" w:rsidRPr="00F33C99">
              <w:t xml:space="preserve"> grant funds.</w:t>
            </w:r>
            <w:r w:rsidR="00F33C99">
              <w:t xml:space="preserve"> </w:t>
            </w:r>
            <w:r>
              <w:t xml:space="preserve"> </w:t>
            </w:r>
          </w:p>
          <w:p w14:paraId="6A726C99" w14:textId="77777777" w:rsidR="008423E4" w:rsidRPr="00835628" w:rsidRDefault="008423E4" w:rsidP="004E7746">
            <w:pPr>
              <w:rPr>
                <w:b/>
              </w:rPr>
            </w:pPr>
          </w:p>
        </w:tc>
      </w:tr>
      <w:tr w:rsidR="006A02FB" w14:paraId="0C8DF830" w14:textId="77777777" w:rsidTr="00345119">
        <w:tc>
          <w:tcPr>
            <w:tcW w:w="9576" w:type="dxa"/>
          </w:tcPr>
          <w:p w14:paraId="6A7ADDE9" w14:textId="77777777" w:rsidR="008423E4" w:rsidRPr="00A8133F" w:rsidRDefault="0072009B" w:rsidP="004E774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6A01CB3" w14:textId="77777777" w:rsidR="008423E4" w:rsidRDefault="008423E4" w:rsidP="004E7746"/>
          <w:p w14:paraId="4779A577" w14:textId="77777777" w:rsidR="008423E4" w:rsidRPr="003624F2" w:rsidRDefault="0072009B" w:rsidP="004E77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0CDA70A" w14:textId="77777777" w:rsidR="008423E4" w:rsidRPr="00233FDB" w:rsidRDefault="008423E4" w:rsidP="004E7746">
            <w:pPr>
              <w:rPr>
                <w:b/>
              </w:rPr>
            </w:pPr>
          </w:p>
        </w:tc>
      </w:tr>
      <w:tr w:rsidR="006A02FB" w14:paraId="7543FEDB" w14:textId="77777777" w:rsidTr="00345119">
        <w:tc>
          <w:tcPr>
            <w:tcW w:w="9576" w:type="dxa"/>
          </w:tcPr>
          <w:p w14:paraId="589B03AF" w14:textId="77777777" w:rsidR="0076515E" w:rsidRDefault="0072009B" w:rsidP="004E774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355E37ED" w14:textId="77777777" w:rsidR="00A42C94" w:rsidRDefault="00A42C94" w:rsidP="004E7746">
            <w:pPr>
              <w:jc w:val="both"/>
            </w:pPr>
          </w:p>
          <w:p w14:paraId="24702B8A" w14:textId="14E3D17C" w:rsidR="00A42C94" w:rsidRDefault="0072009B" w:rsidP="004E7746">
            <w:pPr>
              <w:jc w:val="both"/>
            </w:pPr>
            <w:r>
              <w:t xml:space="preserve">While C.S.H.B. 2555 may differ from the original in </w:t>
            </w:r>
            <w:r>
              <w:t>minor or nonsubstantive ways, the following summarizes the substantial differences between the introduced and committee substitute versions of the bill.</w:t>
            </w:r>
          </w:p>
          <w:p w14:paraId="02E82E7C" w14:textId="6C829CCB" w:rsidR="00A42C94" w:rsidRDefault="00A42C94" w:rsidP="004E7746">
            <w:pPr>
              <w:jc w:val="both"/>
            </w:pPr>
          </w:p>
          <w:p w14:paraId="658646EF" w14:textId="33222BF0" w:rsidR="001607B9" w:rsidRDefault="0072009B" w:rsidP="004E7746">
            <w:pPr>
              <w:jc w:val="both"/>
            </w:pPr>
            <w:r>
              <w:t>The substitute does the following:</w:t>
            </w:r>
          </w:p>
          <w:p w14:paraId="2E3B2399" w14:textId="75984012" w:rsidR="001607B9" w:rsidRDefault="0072009B" w:rsidP="004E774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clarifies</w:t>
            </w:r>
            <w:r w:rsidR="00AC3E51">
              <w:t xml:space="preserve"> that the </w:t>
            </w:r>
            <w:r>
              <w:t xml:space="preserve">evidence </w:t>
            </w:r>
            <w:r w:rsidR="00707954">
              <w:t xml:space="preserve">of a sexual assault or other sex offense </w:t>
            </w:r>
            <w:r>
              <w:t xml:space="preserve">the </w:t>
            </w:r>
            <w:r w:rsidR="00AC3E51">
              <w:t xml:space="preserve">tracking system </w:t>
            </w:r>
            <w:r>
              <w:t>must</w:t>
            </w:r>
            <w:r w:rsidR="00AC3E51">
              <w:t xml:space="preserve"> include</w:t>
            </w:r>
            <w:r>
              <w:t xml:space="preserve"> is the evidence collected during the forensic medical examination;</w:t>
            </w:r>
          </w:p>
          <w:p w14:paraId="44DC42B4" w14:textId="21E6FFFB" w:rsidR="001607B9" w:rsidRDefault="0072009B" w:rsidP="004E7746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includes a requirement for </w:t>
            </w:r>
            <w:r w:rsidR="0063466D">
              <w:t xml:space="preserve">an </w:t>
            </w:r>
            <w:r>
              <w:t xml:space="preserve">entity that performs a medical examination to enter the identification number </w:t>
            </w:r>
            <w:r w:rsidRPr="00AC3E51">
              <w:t xml:space="preserve">of the </w:t>
            </w:r>
            <w:r w:rsidRPr="00AC3E51">
              <w:t>evidence collection kit into the tracking system</w:t>
            </w:r>
            <w:r>
              <w:t xml:space="preserve">; </w:t>
            </w:r>
          </w:p>
          <w:p w14:paraId="1C60DA33" w14:textId="33A18768" w:rsidR="001607B9" w:rsidRDefault="0072009B" w:rsidP="004E7746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includes a requirement for a law enforcement agency that fails to </w:t>
            </w:r>
            <w:r w:rsidR="005F3166">
              <w:t>submi</w:t>
            </w:r>
            <w:r>
              <w:t>t</w:t>
            </w:r>
            <w:r w:rsidR="005F3166">
              <w:t xml:space="preserve"> </w:t>
            </w:r>
            <w:r>
              <w:t xml:space="preserve">evidence to a crime laboratory within a specified period </w:t>
            </w:r>
            <w:r w:rsidR="005F3166">
              <w:t>to provide written documentation of the failure to DPS</w:t>
            </w:r>
            <w:r>
              <w:t>; and</w:t>
            </w:r>
          </w:p>
          <w:p w14:paraId="7F99EA2F" w14:textId="63E6EFED" w:rsidR="005F3166" w:rsidRDefault="0072009B" w:rsidP="004E7746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includes </w:t>
            </w:r>
            <w:r w:rsidR="001607B9">
              <w:t xml:space="preserve">an authorization </w:t>
            </w:r>
            <w:r w:rsidR="008C05BD">
              <w:t>for noncompliance</w:t>
            </w:r>
            <w:r w:rsidR="001607B9">
              <w:t xml:space="preserve"> with provisions governing</w:t>
            </w:r>
            <w:r w:rsidRPr="005F3166">
              <w:t xml:space="preserve"> the collection, preservation, and tracking of evidence of a sex offense </w:t>
            </w:r>
            <w:r w:rsidR="001607B9">
              <w:t>to</w:t>
            </w:r>
            <w:r w:rsidRPr="005F3166">
              <w:t xml:space="preserve"> be used to determine eligibility for </w:t>
            </w:r>
            <w:r w:rsidR="001607B9">
              <w:t xml:space="preserve">state </w:t>
            </w:r>
            <w:r w:rsidRPr="005F3166">
              <w:t>grant funds.</w:t>
            </w:r>
          </w:p>
          <w:p w14:paraId="02724815" w14:textId="6874ED6F" w:rsidR="00A42C94" w:rsidRPr="00A42C94" w:rsidRDefault="00A42C94" w:rsidP="004E7746">
            <w:pPr>
              <w:jc w:val="both"/>
            </w:pPr>
          </w:p>
        </w:tc>
      </w:tr>
      <w:tr w:rsidR="006A02FB" w14:paraId="363720B2" w14:textId="77777777" w:rsidTr="00345119">
        <w:tc>
          <w:tcPr>
            <w:tcW w:w="9576" w:type="dxa"/>
          </w:tcPr>
          <w:p w14:paraId="60F51BC4" w14:textId="77777777" w:rsidR="0076515E" w:rsidRPr="009C1E9A" w:rsidRDefault="0076515E" w:rsidP="004E7746">
            <w:pPr>
              <w:rPr>
                <w:b/>
                <w:u w:val="single"/>
              </w:rPr>
            </w:pPr>
          </w:p>
        </w:tc>
      </w:tr>
      <w:tr w:rsidR="006A02FB" w14:paraId="5B391312" w14:textId="77777777" w:rsidTr="00345119">
        <w:tc>
          <w:tcPr>
            <w:tcW w:w="9576" w:type="dxa"/>
          </w:tcPr>
          <w:p w14:paraId="5C73A2CA" w14:textId="77777777" w:rsidR="0076515E" w:rsidRPr="0076515E" w:rsidRDefault="0076515E" w:rsidP="004E7746">
            <w:pPr>
              <w:jc w:val="both"/>
            </w:pPr>
          </w:p>
        </w:tc>
      </w:tr>
    </w:tbl>
    <w:p w14:paraId="3D76FCD7" w14:textId="77777777" w:rsidR="008423E4" w:rsidRPr="00BE0E75" w:rsidRDefault="008423E4" w:rsidP="004E7746">
      <w:pPr>
        <w:jc w:val="both"/>
        <w:rPr>
          <w:rFonts w:ascii="Arial" w:hAnsi="Arial"/>
          <w:sz w:val="16"/>
          <w:szCs w:val="16"/>
        </w:rPr>
      </w:pPr>
    </w:p>
    <w:p w14:paraId="18CE8ED0" w14:textId="77777777" w:rsidR="004108C3" w:rsidRPr="008423E4" w:rsidRDefault="004108C3" w:rsidP="004E7746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E4A30" w14:textId="77777777" w:rsidR="00000000" w:rsidRDefault="0072009B">
      <w:r>
        <w:separator/>
      </w:r>
    </w:p>
  </w:endnote>
  <w:endnote w:type="continuationSeparator" w:id="0">
    <w:p w14:paraId="2AF4EFE8" w14:textId="77777777" w:rsidR="00000000" w:rsidRDefault="0072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A07D3" w14:textId="77777777" w:rsidR="00180754" w:rsidRDefault="00180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A02FB" w14:paraId="11C7FDB6" w14:textId="77777777" w:rsidTr="009C1E9A">
      <w:trPr>
        <w:cantSplit/>
      </w:trPr>
      <w:tc>
        <w:tcPr>
          <w:tcW w:w="0" w:type="pct"/>
        </w:tcPr>
        <w:p w14:paraId="4C45999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522F2A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8C3C99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A1A307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9C1904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A02FB" w14:paraId="4BC1CCFE" w14:textId="77777777" w:rsidTr="009C1E9A">
      <w:trPr>
        <w:cantSplit/>
      </w:trPr>
      <w:tc>
        <w:tcPr>
          <w:tcW w:w="0" w:type="pct"/>
        </w:tcPr>
        <w:p w14:paraId="405CD86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4E6C47B" w14:textId="2FA6620A" w:rsidR="00EC379B" w:rsidRPr="009C1E9A" w:rsidRDefault="0072009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17364</w:t>
          </w:r>
        </w:p>
      </w:tc>
      <w:tc>
        <w:tcPr>
          <w:tcW w:w="2453" w:type="pct"/>
        </w:tcPr>
        <w:p w14:paraId="640C6D16" w14:textId="63ACC4F8" w:rsidR="00EC379B" w:rsidRDefault="007200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56710">
            <w:t>21.89.909</w:t>
          </w:r>
          <w:r>
            <w:fldChar w:fldCharType="end"/>
          </w:r>
        </w:p>
      </w:tc>
    </w:tr>
    <w:tr w:rsidR="006A02FB" w14:paraId="05237184" w14:textId="77777777" w:rsidTr="009C1E9A">
      <w:trPr>
        <w:cantSplit/>
      </w:trPr>
      <w:tc>
        <w:tcPr>
          <w:tcW w:w="0" w:type="pct"/>
        </w:tcPr>
        <w:p w14:paraId="64E20A9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EBDD072" w14:textId="62388DBB" w:rsidR="00EC379B" w:rsidRPr="009C1E9A" w:rsidRDefault="007200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16167</w:t>
          </w:r>
        </w:p>
      </w:tc>
      <w:tc>
        <w:tcPr>
          <w:tcW w:w="2453" w:type="pct"/>
        </w:tcPr>
        <w:p w14:paraId="62F2941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F27CE5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A02FB" w14:paraId="2B8A282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BC6983D" w14:textId="213DA569" w:rsidR="00EC379B" w:rsidRDefault="0072009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5671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CCB3A5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E33F08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32BEE" w14:textId="77777777" w:rsidR="00180754" w:rsidRDefault="00180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EA601" w14:textId="77777777" w:rsidR="00000000" w:rsidRDefault="0072009B">
      <w:r>
        <w:separator/>
      </w:r>
    </w:p>
  </w:footnote>
  <w:footnote w:type="continuationSeparator" w:id="0">
    <w:p w14:paraId="0F013102" w14:textId="77777777" w:rsidR="00000000" w:rsidRDefault="00720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57BEF" w14:textId="77777777" w:rsidR="00180754" w:rsidRDefault="00180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CF773" w14:textId="77777777" w:rsidR="00180754" w:rsidRDefault="001807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94A1E" w14:textId="77777777" w:rsidR="00180754" w:rsidRDefault="00180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33E3"/>
    <w:multiLevelType w:val="hybridMultilevel"/>
    <w:tmpl w:val="8C0E8EB4"/>
    <w:lvl w:ilvl="0" w:tplc="A79C8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049F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6081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1E0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AE51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4E57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635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02D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B6C0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B62DC"/>
    <w:multiLevelType w:val="hybridMultilevel"/>
    <w:tmpl w:val="CF987C8E"/>
    <w:lvl w:ilvl="0" w:tplc="D50EFF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3C54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AC1A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061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6C49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A44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B66A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844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2C0F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D5C3E"/>
    <w:multiLevelType w:val="hybridMultilevel"/>
    <w:tmpl w:val="F37207A8"/>
    <w:lvl w:ilvl="0" w:tplc="AE880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E4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30D5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1E35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0C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EC2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A61A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0F3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787A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6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216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07B9"/>
    <w:rsid w:val="00161E93"/>
    <w:rsid w:val="00162C7A"/>
    <w:rsid w:val="00162DAE"/>
    <w:rsid w:val="001639C5"/>
    <w:rsid w:val="00163E45"/>
    <w:rsid w:val="001651F0"/>
    <w:rsid w:val="001664C2"/>
    <w:rsid w:val="00171BF2"/>
    <w:rsid w:val="0017347B"/>
    <w:rsid w:val="0017725B"/>
    <w:rsid w:val="0018050C"/>
    <w:rsid w:val="00180754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3E1C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168B"/>
    <w:rsid w:val="002B26DD"/>
    <w:rsid w:val="002B2870"/>
    <w:rsid w:val="002B391B"/>
    <w:rsid w:val="002B5B42"/>
    <w:rsid w:val="002B7BA7"/>
    <w:rsid w:val="002C1C17"/>
    <w:rsid w:val="002C2D05"/>
    <w:rsid w:val="002C3203"/>
    <w:rsid w:val="002C3B07"/>
    <w:rsid w:val="002C532B"/>
    <w:rsid w:val="002C5713"/>
    <w:rsid w:val="002D05CC"/>
    <w:rsid w:val="002D26B9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66CD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7759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63CF"/>
    <w:rsid w:val="004B772A"/>
    <w:rsid w:val="004C07F3"/>
    <w:rsid w:val="004C2343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A7A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E7746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242E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6ED1"/>
    <w:rsid w:val="005E738F"/>
    <w:rsid w:val="005E788B"/>
    <w:rsid w:val="005F1519"/>
    <w:rsid w:val="005F3166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466D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02FB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114D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2F7"/>
    <w:rsid w:val="007066A0"/>
    <w:rsid w:val="007075FB"/>
    <w:rsid w:val="0070787B"/>
    <w:rsid w:val="00707954"/>
    <w:rsid w:val="0071131D"/>
    <w:rsid w:val="00711E3D"/>
    <w:rsid w:val="00711E85"/>
    <w:rsid w:val="007124C5"/>
    <w:rsid w:val="00712DDA"/>
    <w:rsid w:val="00717739"/>
    <w:rsid w:val="00717DE4"/>
    <w:rsid w:val="0072009B"/>
    <w:rsid w:val="00721724"/>
    <w:rsid w:val="00722EC5"/>
    <w:rsid w:val="00723326"/>
    <w:rsid w:val="00723C2C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515E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ABD"/>
    <w:rsid w:val="007A7EC1"/>
    <w:rsid w:val="007B4FCA"/>
    <w:rsid w:val="007B7B85"/>
    <w:rsid w:val="007C462E"/>
    <w:rsid w:val="007C496B"/>
    <w:rsid w:val="007C6803"/>
    <w:rsid w:val="007D0057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B4F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5BD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394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07F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2C94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3E51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103A"/>
    <w:rsid w:val="00B233BB"/>
    <w:rsid w:val="00B25612"/>
    <w:rsid w:val="00B26437"/>
    <w:rsid w:val="00B2678E"/>
    <w:rsid w:val="00B30647"/>
    <w:rsid w:val="00B31F0E"/>
    <w:rsid w:val="00B338D3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3CB9"/>
    <w:rsid w:val="00B90097"/>
    <w:rsid w:val="00B90999"/>
    <w:rsid w:val="00B91AD7"/>
    <w:rsid w:val="00B92D23"/>
    <w:rsid w:val="00B95BC8"/>
    <w:rsid w:val="00B96E87"/>
    <w:rsid w:val="00BA146A"/>
    <w:rsid w:val="00BA32EE"/>
    <w:rsid w:val="00BA776B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6F8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1771B"/>
    <w:rsid w:val="00C2142B"/>
    <w:rsid w:val="00C22987"/>
    <w:rsid w:val="00C23956"/>
    <w:rsid w:val="00C248E6"/>
    <w:rsid w:val="00C2766F"/>
    <w:rsid w:val="00C32055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6710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571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2ACC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14EB"/>
    <w:rsid w:val="00DE34B2"/>
    <w:rsid w:val="00DE49DE"/>
    <w:rsid w:val="00DE6063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49CD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3C99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1D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D555BE-808F-4964-B459-5C4EDAF9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621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21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216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2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216C"/>
    <w:rPr>
      <w:b/>
      <w:bCs/>
    </w:rPr>
  </w:style>
  <w:style w:type="paragraph" w:styleId="Revision">
    <w:name w:val="Revision"/>
    <w:hidden/>
    <w:uiPriority w:val="99"/>
    <w:semiHidden/>
    <w:rsid w:val="004B63C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607B9"/>
    <w:pPr>
      <w:ind w:left="720"/>
      <w:contextualSpacing/>
    </w:pPr>
  </w:style>
  <w:style w:type="character" w:styleId="Hyperlink">
    <w:name w:val="Hyperlink"/>
    <w:basedOn w:val="DefaultParagraphFont"/>
    <w:unhideWhenUsed/>
    <w:rsid w:val="00B338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E14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713</Words>
  <Characters>3972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HB02555 (Committee Report (Substituted))</vt:lpstr>
    </vt:vector>
  </TitlesOfParts>
  <Company>State of Texas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17364</dc:subject>
  <dc:creator>State of Texas</dc:creator>
  <dc:description>HB 2555 by Neave-(H)Homeland Security &amp; Public Safety (Substitute Document Number: 87R 16167)</dc:description>
  <cp:lastModifiedBy>Thomas Weis</cp:lastModifiedBy>
  <cp:revision>2</cp:revision>
  <cp:lastPrinted>2003-11-26T17:21:00Z</cp:lastPrinted>
  <dcterms:created xsi:type="dcterms:W3CDTF">2021-03-31T17:27:00Z</dcterms:created>
  <dcterms:modified xsi:type="dcterms:W3CDTF">2021-03-31T17:27:00Z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21.89.909</vt:lpwstr>
  </property>
</Properties>
</file>