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64A28" w14:paraId="6A861135" w14:textId="77777777" w:rsidTr="00345119">
        <w:tc>
          <w:tcPr>
            <w:tcW w:w="9576" w:type="dxa"/>
            <w:noWrap/>
          </w:tcPr>
          <w:p w14:paraId="1E8EE223" w14:textId="77777777" w:rsidR="008423E4" w:rsidRPr="0022177D" w:rsidRDefault="005630E4" w:rsidP="00FD53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4F1CCF" w14:textId="77777777" w:rsidR="008423E4" w:rsidRPr="0022177D" w:rsidRDefault="008423E4" w:rsidP="00FD53AA">
      <w:pPr>
        <w:jc w:val="center"/>
      </w:pPr>
    </w:p>
    <w:p w14:paraId="5A110305" w14:textId="77777777" w:rsidR="008423E4" w:rsidRPr="00B31F0E" w:rsidRDefault="008423E4" w:rsidP="00FD53AA"/>
    <w:p w14:paraId="59ADBE24" w14:textId="77777777" w:rsidR="008423E4" w:rsidRPr="00742794" w:rsidRDefault="008423E4" w:rsidP="00FD53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4A28" w14:paraId="197ABD1A" w14:textId="77777777" w:rsidTr="00345119">
        <w:tc>
          <w:tcPr>
            <w:tcW w:w="9576" w:type="dxa"/>
          </w:tcPr>
          <w:p w14:paraId="7964576C" w14:textId="77777777" w:rsidR="008423E4" w:rsidRPr="00861995" w:rsidRDefault="005630E4" w:rsidP="00FD53AA">
            <w:pPr>
              <w:jc w:val="right"/>
            </w:pPr>
            <w:r>
              <w:t>H.B. 2566</w:t>
            </w:r>
          </w:p>
        </w:tc>
      </w:tr>
      <w:tr w:rsidR="00364A28" w14:paraId="0B4F6E26" w14:textId="77777777" w:rsidTr="00345119">
        <w:tc>
          <w:tcPr>
            <w:tcW w:w="9576" w:type="dxa"/>
          </w:tcPr>
          <w:p w14:paraId="14B55375" w14:textId="77777777" w:rsidR="008423E4" w:rsidRPr="00861995" w:rsidRDefault="005630E4" w:rsidP="00FD53AA">
            <w:pPr>
              <w:jc w:val="right"/>
            </w:pPr>
            <w:r>
              <w:t xml:space="preserve">By: </w:t>
            </w:r>
            <w:r w:rsidR="00DA3619">
              <w:t>Darby</w:t>
            </w:r>
          </w:p>
        </w:tc>
      </w:tr>
      <w:tr w:rsidR="00364A28" w14:paraId="427D34A8" w14:textId="77777777" w:rsidTr="00345119">
        <w:tc>
          <w:tcPr>
            <w:tcW w:w="9576" w:type="dxa"/>
          </w:tcPr>
          <w:p w14:paraId="01415597" w14:textId="77777777" w:rsidR="008423E4" w:rsidRPr="00861995" w:rsidRDefault="005630E4" w:rsidP="00FD53AA">
            <w:pPr>
              <w:jc w:val="right"/>
            </w:pPr>
            <w:r>
              <w:t>Public Health</w:t>
            </w:r>
          </w:p>
        </w:tc>
      </w:tr>
      <w:tr w:rsidR="00364A28" w14:paraId="0D748010" w14:textId="77777777" w:rsidTr="00345119">
        <w:tc>
          <w:tcPr>
            <w:tcW w:w="9576" w:type="dxa"/>
          </w:tcPr>
          <w:p w14:paraId="5859F0B7" w14:textId="77777777" w:rsidR="008423E4" w:rsidRDefault="005630E4" w:rsidP="00FD53AA">
            <w:pPr>
              <w:jc w:val="right"/>
            </w:pPr>
            <w:r>
              <w:t>Committee Report (Unamended)</w:t>
            </w:r>
          </w:p>
        </w:tc>
      </w:tr>
    </w:tbl>
    <w:p w14:paraId="4961A8A6" w14:textId="77777777" w:rsidR="008423E4" w:rsidRDefault="008423E4" w:rsidP="00FD53AA">
      <w:pPr>
        <w:tabs>
          <w:tab w:val="right" w:pos="9360"/>
        </w:tabs>
      </w:pPr>
    </w:p>
    <w:p w14:paraId="428FC30B" w14:textId="77777777" w:rsidR="008423E4" w:rsidRDefault="008423E4" w:rsidP="00FD53AA"/>
    <w:p w14:paraId="203A5590" w14:textId="77777777" w:rsidR="008423E4" w:rsidRDefault="008423E4" w:rsidP="00FD53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64A28" w14:paraId="17CD0FDD" w14:textId="77777777" w:rsidTr="00345119">
        <w:tc>
          <w:tcPr>
            <w:tcW w:w="9576" w:type="dxa"/>
          </w:tcPr>
          <w:p w14:paraId="78F1439C" w14:textId="77777777" w:rsidR="008423E4" w:rsidRPr="00A8133F" w:rsidRDefault="005630E4" w:rsidP="00FD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BBB0C1" w14:textId="77777777" w:rsidR="008423E4" w:rsidRDefault="008423E4" w:rsidP="00FD53AA"/>
          <w:p w14:paraId="3CE8819B" w14:textId="4EEAE8C2" w:rsidR="00EE3885" w:rsidRDefault="005630E4" w:rsidP="00FD53AA">
            <w:pPr>
              <w:pStyle w:val="Header"/>
              <w:jc w:val="both"/>
            </w:pPr>
            <w:r>
              <w:t>Legislation</w:t>
            </w:r>
            <w:r w:rsidR="00002C9B" w:rsidRPr="00002C9B">
              <w:t xml:space="preserve"> </w:t>
            </w:r>
            <w:r w:rsidR="00713A02">
              <w:t xml:space="preserve">was </w:t>
            </w:r>
            <w:r>
              <w:t>recently</w:t>
            </w:r>
            <w:r w:rsidR="00002C9B" w:rsidRPr="00002C9B">
              <w:t xml:space="preserve"> passed to </w:t>
            </w:r>
            <w:r>
              <w:t xml:space="preserve">help </w:t>
            </w:r>
            <w:r w:rsidR="00002C9B" w:rsidRPr="00002C9B">
              <w:t xml:space="preserve">better inform parents of </w:t>
            </w:r>
            <w:r>
              <w:t>newborns and infants who do not pass hearing screenings</w:t>
            </w:r>
            <w:r w:rsidR="00002C9B" w:rsidRPr="00002C9B">
              <w:t xml:space="preserve"> about </w:t>
            </w:r>
            <w:r w:rsidR="00713A02">
              <w:t xml:space="preserve">certain </w:t>
            </w:r>
            <w:r w:rsidR="00002C9B" w:rsidRPr="00002C9B">
              <w:t xml:space="preserve">resources available to them and to increase the utilization of </w:t>
            </w:r>
            <w:r w:rsidR="00713A02" w:rsidRPr="008C23B0">
              <w:t xml:space="preserve">follow-up </w:t>
            </w:r>
            <w:r w:rsidR="00713A02">
              <w:t>s</w:t>
            </w:r>
            <w:r w:rsidR="00002C9B" w:rsidRPr="00002C9B">
              <w:t xml:space="preserve">ervices </w:t>
            </w:r>
            <w:r w:rsidR="005C02E3">
              <w:t>for</w:t>
            </w:r>
            <w:r w:rsidR="00002C9B" w:rsidRPr="00002C9B">
              <w:t xml:space="preserve"> </w:t>
            </w:r>
            <w:r w:rsidR="004247C6">
              <w:t>those</w:t>
            </w:r>
            <w:r w:rsidR="00002C9B" w:rsidRPr="00002C9B">
              <w:t xml:space="preserve"> </w:t>
            </w:r>
            <w:r w:rsidR="00713A02">
              <w:t xml:space="preserve">who are screened by </w:t>
            </w:r>
            <w:r w:rsidR="00713A02" w:rsidRPr="00DA3619">
              <w:t>a certified newborn hearing screening, tracking, and intervention program</w:t>
            </w:r>
            <w:r w:rsidR="00002C9B" w:rsidRPr="00002C9B">
              <w:t xml:space="preserve">. </w:t>
            </w:r>
            <w:r w:rsidR="00116C21">
              <w:t>T</w:t>
            </w:r>
            <w:r w:rsidR="007657A2">
              <w:t>here have been calls to</w:t>
            </w:r>
            <w:r w:rsidR="003B4E66">
              <w:t xml:space="preserve"> further</w:t>
            </w:r>
            <w:r w:rsidR="00116C21">
              <w:t xml:space="preserve"> clarify</w:t>
            </w:r>
            <w:r w:rsidR="007657A2">
              <w:t xml:space="preserve"> </w:t>
            </w:r>
            <w:r w:rsidR="00116C21">
              <w:t xml:space="preserve">the law relating to </w:t>
            </w:r>
            <w:r w:rsidR="00116C21" w:rsidRPr="006A25C6">
              <w:t>newborn hearing loss</w:t>
            </w:r>
            <w:r w:rsidR="00133CFA">
              <w:t xml:space="preserve">, including </w:t>
            </w:r>
            <w:r w:rsidR="004247C6">
              <w:t xml:space="preserve">the </w:t>
            </w:r>
            <w:r w:rsidR="008240B5">
              <w:t>parental consent</w:t>
            </w:r>
            <w:r w:rsidR="005C02E3">
              <w:t xml:space="preserve"> </w:t>
            </w:r>
            <w:r w:rsidR="00002C9B" w:rsidRPr="00002C9B">
              <w:t xml:space="preserve">components </w:t>
            </w:r>
            <w:r w:rsidR="00133CFA">
              <w:t>of the program</w:t>
            </w:r>
            <w:r w:rsidR="008240B5">
              <w:t>, and to pr</w:t>
            </w:r>
            <w:r w:rsidR="00923A11">
              <w:t>ovide for a more simplified disclosure process regarding the results of a newborn's or infant's hearing screening</w:t>
            </w:r>
            <w:r w:rsidR="00DD4318">
              <w:t xml:space="preserve"> </w:t>
            </w:r>
            <w:r w:rsidR="00923A11">
              <w:t xml:space="preserve">under the program. </w:t>
            </w:r>
          </w:p>
          <w:p w14:paraId="2E3D8DA4" w14:textId="77777777" w:rsidR="00EE3885" w:rsidRDefault="00EE3885" w:rsidP="00FD53AA">
            <w:pPr>
              <w:pStyle w:val="Header"/>
              <w:jc w:val="both"/>
            </w:pPr>
          </w:p>
          <w:p w14:paraId="4448D9C7" w14:textId="719BAB54" w:rsidR="00002C9B" w:rsidRDefault="005630E4" w:rsidP="00FD53AA">
            <w:pPr>
              <w:pStyle w:val="Header"/>
              <w:jc w:val="both"/>
            </w:pPr>
            <w:r w:rsidRPr="00002C9B">
              <w:t>H</w:t>
            </w:r>
            <w:r w:rsidR="0016757D">
              <w:t>.</w:t>
            </w:r>
            <w:r w:rsidRPr="00002C9B">
              <w:t>B</w:t>
            </w:r>
            <w:r w:rsidR="0016757D">
              <w:t>.</w:t>
            </w:r>
            <w:r w:rsidRPr="00002C9B">
              <w:t xml:space="preserve"> 2566 seeks to </w:t>
            </w:r>
            <w:r w:rsidR="00DD4318">
              <w:t>make</w:t>
            </w:r>
            <w:r w:rsidR="003B4E66">
              <w:t xml:space="preserve"> those </w:t>
            </w:r>
            <w:r w:rsidRPr="00002C9B">
              <w:t>clarif</w:t>
            </w:r>
            <w:r w:rsidR="003B4E66">
              <w:t>ications</w:t>
            </w:r>
            <w:r w:rsidRPr="00002C9B">
              <w:t xml:space="preserve"> </w:t>
            </w:r>
            <w:r w:rsidR="008240B5">
              <w:t>regarding</w:t>
            </w:r>
            <w:r w:rsidR="008240B5" w:rsidRPr="00002C9B">
              <w:t xml:space="preserve"> </w:t>
            </w:r>
            <w:r w:rsidR="00D108EA">
              <w:t xml:space="preserve">parental or guardian </w:t>
            </w:r>
            <w:r w:rsidRPr="00002C9B">
              <w:t>consent</w:t>
            </w:r>
            <w:r w:rsidR="00DD4318">
              <w:t xml:space="preserve">, </w:t>
            </w:r>
            <w:r w:rsidRPr="00002C9B">
              <w:t xml:space="preserve">implement a </w:t>
            </w:r>
            <w:r w:rsidR="00923A11">
              <w:t xml:space="preserve">more </w:t>
            </w:r>
            <w:r w:rsidRPr="00002C9B">
              <w:t xml:space="preserve">simplified disclosure statement </w:t>
            </w:r>
            <w:r w:rsidR="00923A11">
              <w:t>for parents or guardians</w:t>
            </w:r>
            <w:r w:rsidR="00DD4318">
              <w:t xml:space="preserve"> of those newborns or infants</w:t>
            </w:r>
            <w:r w:rsidRPr="00002C9B">
              <w:t>,</w:t>
            </w:r>
            <w:r w:rsidR="00DD4318">
              <w:t xml:space="preserve"> and </w:t>
            </w:r>
            <w:r w:rsidRPr="00002C9B">
              <w:t xml:space="preserve">address </w:t>
            </w:r>
            <w:r w:rsidR="00DD4318">
              <w:t xml:space="preserve">certain </w:t>
            </w:r>
            <w:r w:rsidRPr="00002C9B">
              <w:t>ambigu</w:t>
            </w:r>
            <w:r w:rsidR="00DD4318">
              <w:t>ities</w:t>
            </w:r>
            <w:r w:rsidR="009203DE">
              <w:t xml:space="preserve"> in the law pertaining to</w:t>
            </w:r>
            <w:r w:rsidRPr="00002C9B">
              <w:t xml:space="preserve"> speech</w:t>
            </w:r>
            <w:r w:rsidR="009203DE">
              <w:t>-</w:t>
            </w:r>
            <w:r w:rsidRPr="00002C9B">
              <w:t>language pathologists</w:t>
            </w:r>
            <w:r w:rsidR="009203DE">
              <w:t xml:space="preserve"> and audiologists that provide screening or diagnostic services to newborns or infants</w:t>
            </w:r>
            <w:r w:rsidRPr="00002C9B">
              <w:t>.</w:t>
            </w:r>
          </w:p>
          <w:p w14:paraId="4DF70023" w14:textId="77777777" w:rsidR="008423E4" w:rsidRPr="00E26B13" w:rsidRDefault="008423E4" w:rsidP="00FD53AA">
            <w:pPr>
              <w:rPr>
                <w:b/>
              </w:rPr>
            </w:pPr>
          </w:p>
        </w:tc>
      </w:tr>
      <w:tr w:rsidR="00364A28" w14:paraId="7471A764" w14:textId="77777777" w:rsidTr="00345119">
        <w:tc>
          <w:tcPr>
            <w:tcW w:w="9576" w:type="dxa"/>
          </w:tcPr>
          <w:p w14:paraId="30E66043" w14:textId="77777777" w:rsidR="0017725B" w:rsidRDefault="005630E4" w:rsidP="00FD53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07AF0D" w14:textId="77777777" w:rsidR="0017725B" w:rsidRDefault="0017725B" w:rsidP="00FD53AA">
            <w:pPr>
              <w:rPr>
                <w:b/>
                <w:u w:val="single"/>
              </w:rPr>
            </w:pPr>
          </w:p>
          <w:p w14:paraId="6ED34EDA" w14:textId="77777777" w:rsidR="003B23D0" w:rsidRPr="003B23D0" w:rsidRDefault="005630E4" w:rsidP="00FD53AA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14:paraId="3B84E5D3" w14:textId="77777777" w:rsidR="0017725B" w:rsidRPr="0017725B" w:rsidRDefault="0017725B" w:rsidP="00FD53AA">
            <w:pPr>
              <w:rPr>
                <w:b/>
                <w:u w:val="single"/>
              </w:rPr>
            </w:pPr>
          </w:p>
        </w:tc>
      </w:tr>
      <w:tr w:rsidR="00364A28" w14:paraId="701BB5AD" w14:textId="77777777" w:rsidTr="00345119">
        <w:tc>
          <w:tcPr>
            <w:tcW w:w="9576" w:type="dxa"/>
          </w:tcPr>
          <w:p w14:paraId="472F9C11" w14:textId="77777777" w:rsidR="008423E4" w:rsidRPr="00A8133F" w:rsidRDefault="005630E4" w:rsidP="00FD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831205" w14:textId="77777777" w:rsidR="008423E4" w:rsidRDefault="008423E4" w:rsidP="00FD53AA"/>
          <w:p w14:paraId="2756F520" w14:textId="7BED853C" w:rsidR="003B23D0" w:rsidRDefault="005630E4" w:rsidP="00FD5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 w:rsidR="00E02948">
              <w:t xml:space="preserve">to </w:t>
            </w:r>
            <w:r w:rsidR="007450B2">
              <w:t xml:space="preserve">the executive commissioner of </w:t>
            </w:r>
            <w:r w:rsidR="007450B2" w:rsidRPr="00D05D7A">
              <w:t>the Health and Human Services Commission</w:t>
            </w:r>
            <w:r w:rsidR="007450B2">
              <w:t xml:space="preserve"> in SECTION </w:t>
            </w:r>
            <w:r w:rsidR="00E02948">
              <w:t xml:space="preserve">3 </w:t>
            </w:r>
            <w:r w:rsidR="007450B2">
              <w:t>of this bill</w:t>
            </w:r>
            <w:r w:rsidR="00E02948">
              <w:t xml:space="preserve"> and to the Texas Commission of Licensing and Regulation in </w:t>
            </w:r>
            <w:r w:rsidR="00E02948" w:rsidRPr="00224806">
              <w:t>SECTION 6</w:t>
            </w:r>
            <w:r w:rsidR="00E02948">
              <w:t xml:space="preserve"> of this bill.</w:t>
            </w:r>
          </w:p>
          <w:p w14:paraId="4E06A604" w14:textId="77777777" w:rsidR="008423E4" w:rsidRPr="00E21FDC" w:rsidRDefault="008423E4" w:rsidP="00FD53AA">
            <w:pPr>
              <w:rPr>
                <w:b/>
              </w:rPr>
            </w:pPr>
          </w:p>
        </w:tc>
      </w:tr>
      <w:tr w:rsidR="00364A28" w14:paraId="76C7160B" w14:textId="77777777" w:rsidTr="00345119">
        <w:tc>
          <w:tcPr>
            <w:tcW w:w="9576" w:type="dxa"/>
          </w:tcPr>
          <w:p w14:paraId="72159FF6" w14:textId="77777777" w:rsidR="008423E4" w:rsidRPr="00A8133F" w:rsidRDefault="005630E4" w:rsidP="00FD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A692C8" w14:textId="77777777" w:rsidR="008423E4" w:rsidRDefault="008423E4" w:rsidP="00FD53AA"/>
          <w:p w14:paraId="0B59EA96" w14:textId="550133CA" w:rsidR="008D211A" w:rsidRDefault="005630E4" w:rsidP="00FD53AA">
            <w:pPr>
              <w:pStyle w:val="Header"/>
              <w:jc w:val="both"/>
            </w:pPr>
            <w:r>
              <w:t xml:space="preserve">H.B. 2566 </w:t>
            </w:r>
            <w:r w:rsidRPr="00DA3619">
              <w:t xml:space="preserve">amends the Health and Safety Code to </w:t>
            </w:r>
            <w:r w:rsidR="004D3949">
              <w:t>clarify</w:t>
            </w:r>
            <w:r w:rsidR="00595404">
              <w:t xml:space="preserve"> </w:t>
            </w:r>
            <w:r w:rsidR="006A25C6">
              <w:t xml:space="preserve">that a </w:t>
            </w:r>
            <w:r w:rsidR="006A25C6" w:rsidRPr="006A25C6">
              <w:t xml:space="preserve">hospital that provides services </w:t>
            </w:r>
            <w:r w:rsidR="006A25C6">
              <w:t xml:space="preserve">relating to </w:t>
            </w:r>
            <w:r w:rsidR="006A25C6" w:rsidRPr="006A25C6">
              <w:t xml:space="preserve">newborn hearing loss </w:t>
            </w:r>
            <w:r w:rsidR="006A25C6">
              <w:t xml:space="preserve">is required </w:t>
            </w:r>
            <w:r w:rsidR="006A25C6" w:rsidRPr="006A25C6">
              <w:t>to report</w:t>
            </w:r>
            <w:r w:rsidR="008C23B0">
              <w:t xml:space="preserve"> </w:t>
            </w:r>
            <w:r w:rsidR="006A25C6">
              <w:t xml:space="preserve">to the </w:t>
            </w:r>
            <w:r w:rsidR="008C23B0" w:rsidRPr="008C23B0">
              <w:t xml:space="preserve">Department of State Health Services (DSHS) </w:t>
            </w:r>
            <w:r w:rsidR="006A25C6">
              <w:t xml:space="preserve">or </w:t>
            </w:r>
            <w:r w:rsidR="004247C6">
              <w:t>its d</w:t>
            </w:r>
            <w:r w:rsidR="008C23B0">
              <w:t>esignee the</w:t>
            </w:r>
            <w:r w:rsidR="008C23B0" w:rsidRPr="008C23B0">
              <w:t xml:space="preserve"> results of all follow-up service</w:t>
            </w:r>
            <w:r w:rsidR="00E563D8">
              <w:t xml:space="preserve">s for an infant who is screened by </w:t>
            </w:r>
            <w:r w:rsidR="00E563D8" w:rsidRPr="00DA3619">
              <w:t xml:space="preserve">a certified newborn hearing screening, tracking, and intervention program </w:t>
            </w:r>
            <w:r w:rsidR="008C23B0" w:rsidRPr="008C23B0">
              <w:t xml:space="preserve">if the hospital </w:t>
            </w:r>
            <w:r w:rsidR="00E563D8">
              <w:t>provides the follow-up services.</w:t>
            </w:r>
          </w:p>
          <w:p w14:paraId="13892D80" w14:textId="77777777" w:rsidR="008D211A" w:rsidRDefault="008D211A" w:rsidP="00FD53AA">
            <w:pPr>
              <w:pStyle w:val="Header"/>
              <w:jc w:val="both"/>
            </w:pPr>
          </w:p>
          <w:p w14:paraId="10A33309" w14:textId="02515DD7" w:rsidR="00871BCB" w:rsidRDefault="005630E4" w:rsidP="00FD53AA">
            <w:pPr>
              <w:pStyle w:val="Header"/>
              <w:jc w:val="both"/>
            </w:pPr>
            <w:r>
              <w:t>H.B. 2566</w:t>
            </w:r>
            <w:r w:rsidR="005B46CF">
              <w:t>, in revising</w:t>
            </w:r>
            <w:r w:rsidR="00E563D8">
              <w:t xml:space="preserve"> </w:t>
            </w:r>
            <w:r w:rsidR="005B46CF">
              <w:t xml:space="preserve">the </w:t>
            </w:r>
            <w:r>
              <w:t xml:space="preserve">statutory </w:t>
            </w:r>
            <w:r w:rsidR="00E563D8">
              <w:t xml:space="preserve">provisions </w:t>
            </w:r>
            <w:r>
              <w:t xml:space="preserve">requiring </w:t>
            </w:r>
            <w:r w:rsidR="00D05D7A" w:rsidRPr="00D05D7A">
              <w:t>the executive commissioner of the Health and Human Services Commission</w:t>
            </w:r>
            <w:r w:rsidR="00E563D8">
              <w:t xml:space="preserve"> (HHSC)</w:t>
            </w:r>
            <w:r w:rsidR="00D05D7A" w:rsidRPr="00D05D7A">
              <w:t xml:space="preserve"> </w:t>
            </w:r>
            <w:r w:rsidRPr="00871BCB">
              <w:t>to develop guidelines for parental or guardian consent</w:t>
            </w:r>
            <w:r w:rsidR="005B46CF">
              <w:t>, does the following</w:t>
            </w:r>
            <w:r>
              <w:t>:</w:t>
            </w:r>
          </w:p>
          <w:p w14:paraId="5FE9A833" w14:textId="0689B7F5" w:rsidR="008D211A" w:rsidRDefault="005630E4" w:rsidP="00FD53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</w:t>
            </w:r>
            <w:r w:rsidR="00E86167">
              <w:t xml:space="preserve">emoves written </w:t>
            </w:r>
            <w:r w:rsidR="00E86167" w:rsidRPr="00E86167">
              <w:t>electronic consent</w:t>
            </w:r>
            <w:r w:rsidR="00E86167">
              <w:t xml:space="preserve"> from </w:t>
            </w:r>
            <w:r w:rsidR="00480246">
              <w:t xml:space="preserve">the scope of </w:t>
            </w:r>
            <w:r w:rsidR="000967E9">
              <w:t xml:space="preserve">the </w:t>
            </w:r>
            <w:r w:rsidR="00480246">
              <w:t xml:space="preserve">provisions requiring </w:t>
            </w:r>
            <w:r w:rsidR="00E86167">
              <w:t xml:space="preserve">such consent </w:t>
            </w:r>
            <w:r w:rsidR="00871BCB" w:rsidRPr="00871BCB">
              <w:t>before</w:t>
            </w:r>
            <w:r>
              <w:t xml:space="preserve"> any</w:t>
            </w:r>
            <w:r w:rsidR="00871BCB" w:rsidRPr="00871BCB">
              <w:t xml:space="preserve"> individually identifying information is provided to DSHS with respect to </w:t>
            </w:r>
            <w:r w:rsidR="00871BCB">
              <w:t>newborn hearing</w:t>
            </w:r>
            <w:r w:rsidR="00871BCB" w:rsidRPr="00871BCB">
              <w:t xml:space="preserve"> screening</w:t>
            </w:r>
            <w:r>
              <w:t>;</w:t>
            </w:r>
          </w:p>
          <w:p w14:paraId="21E694C1" w14:textId="0E788611" w:rsidR="00F95C5E" w:rsidRDefault="005630E4" w:rsidP="00FD53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</w:t>
            </w:r>
            <w:r w:rsidR="00480246">
              <w:t xml:space="preserve">equires </w:t>
            </w:r>
            <w:r w:rsidR="00AE4D43">
              <w:t xml:space="preserve">the patient's </w:t>
            </w:r>
            <w:r w:rsidR="00480246">
              <w:t>parent or guardian</w:t>
            </w:r>
            <w:r w:rsidR="00AE4D43">
              <w:t xml:space="preserve"> instead</w:t>
            </w:r>
            <w:r w:rsidR="00480246">
              <w:t xml:space="preserve"> </w:t>
            </w:r>
            <w:r w:rsidR="00480246" w:rsidRPr="00480246">
              <w:t xml:space="preserve">to consent once in accordance with </w:t>
            </w:r>
            <w:r w:rsidR="00480246">
              <w:t>the bill's provisi</w:t>
            </w:r>
            <w:r w:rsidR="00AE4D43">
              <w:t xml:space="preserve">ons </w:t>
            </w:r>
            <w:r>
              <w:t>before individually identifying information is disclosed</w:t>
            </w:r>
            <w:r w:rsidR="004F2C9D">
              <w:t xml:space="preserve"> </w:t>
            </w:r>
            <w:r>
              <w:t xml:space="preserve">for purposes of </w:t>
            </w:r>
            <w:r w:rsidR="004F2C9D">
              <w:t xml:space="preserve">the revised </w:t>
            </w:r>
            <w:r>
              <w:t xml:space="preserve">provisions relating to </w:t>
            </w:r>
            <w:r w:rsidRPr="002B3D6F">
              <w:t>hearing loss in newborns</w:t>
            </w:r>
            <w:r>
              <w:t>; and</w:t>
            </w:r>
          </w:p>
          <w:p w14:paraId="25E57CFE" w14:textId="48F158B0" w:rsidR="00F95C5E" w:rsidRDefault="005630E4" w:rsidP="00FD53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clarifies that</w:t>
            </w:r>
            <w:r w:rsidRPr="008D211A">
              <w:t xml:space="preserve"> </w:t>
            </w:r>
            <w:r w:rsidR="008D211A">
              <w:t xml:space="preserve">the Texas School for the Deaf </w:t>
            </w:r>
            <w:r>
              <w:t>must</w:t>
            </w:r>
            <w:r w:rsidR="008D211A" w:rsidRPr="008D211A">
              <w:t xml:space="preserve"> permit a parent or guardian at any time to withdraw information provided to the school under </w:t>
            </w:r>
            <w:r w:rsidR="008D211A">
              <w:t>the</w:t>
            </w:r>
            <w:r w:rsidR="008D211A" w:rsidRPr="008D211A">
              <w:t xml:space="preserve"> </w:t>
            </w:r>
            <w:r w:rsidR="004F2C9D">
              <w:t xml:space="preserve">revised </w:t>
            </w:r>
            <w:r w:rsidR="008D211A" w:rsidRPr="008D211A">
              <w:t>provisions.</w:t>
            </w:r>
          </w:p>
          <w:p w14:paraId="6FF8DDAF" w14:textId="77777777" w:rsidR="00F95C5E" w:rsidRDefault="005630E4" w:rsidP="00FD53AA">
            <w:pPr>
              <w:pStyle w:val="Header"/>
              <w:jc w:val="both"/>
            </w:pPr>
            <w:r>
              <w:t xml:space="preserve">If </w:t>
            </w:r>
            <w:r w:rsidR="00846431">
              <w:t>such</w:t>
            </w:r>
            <w:r>
              <w:t xml:space="preserve"> consent required for disclosure of information is obtained, a follow-up provider is not required to obtain additional consent of t</w:t>
            </w:r>
            <w:r>
              <w:t>he patient's parent or guardian before providing or obtaining screening results, follow-up care results, or other information related to the patient.</w:t>
            </w:r>
          </w:p>
          <w:p w14:paraId="395D725E" w14:textId="77777777" w:rsidR="00F95C5E" w:rsidRDefault="00F95C5E" w:rsidP="00FD53AA">
            <w:pPr>
              <w:pStyle w:val="Header"/>
              <w:jc w:val="both"/>
            </w:pPr>
          </w:p>
          <w:p w14:paraId="50F95A49" w14:textId="6DE4343F" w:rsidR="00F95C5E" w:rsidRDefault="005630E4" w:rsidP="00FD53AA">
            <w:pPr>
              <w:pStyle w:val="Header"/>
              <w:jc w:val="both"/>
            </w:pPr>
            <w:r>
              <w:t xml:space="preserve">H.B. 2566 requires </w:t>
            </w:r>
            <w:r w:rsidRPr="008C23B0">
              <w:t>DSHS</w:t>
            </w:r>
            <w:r>
              <w:t xml:space="preserve"> to create a disclosure statement for parents or guardians of newborns or infants </w:t>
            </w:r>
            <w:r>
              <w:t>under the</w:t>
            </w:r>
            <w:r w:rsidR="00AC45CA">
              <w:t xml:space="preserve"> </w:t>
            </w:r>
            <w:r w:rsidR="00AC45CA" w:rsidRPr="00DA3619">
              <w:t>newborn hearing screening, tracking, and intervention</w:t>
            </w:r>
            <w:r>
              <w:t xml:space="preserve"> program disclosing </w:t>
            </w:r>
            <w:r w:rsidR="00E16317">
              <w:t>that, as follows</w:t>
            </w:r>
            <w:r>
              <w:t>:</w:t>
            </w:r>
          </w:p>
          <w:p w14:paraId="09099012" w14:textId="77777777" w:rsidR="00846431" w:rsidRDefault="005630E4" w:rsidP="00FD53A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results of a newborn's or infant's screening may be shared with the Texas School for the Deaf and early childhood intervention services;</w:t>
            </w:r>
          </w:p>
          <w:p w14:paraId="4EE8A515" w14:textId="66B54CB2" w:rsidR="00C91EE1" w:rsidRDefault="005630E4" w:rsidP="00FD53A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written or electronic consent of the parent or guardian must be obtained once in accordance with these provisions relating to disclosure and consent before information individually identifying a newborn or infant patient is disclosed for purposes of prov</w:t>
            </w:r>
            <w:r>
              <w:t xml:space="preserve">isions relating to </w:t>
            </w:r>
            <w:r w:rsidRPr="002B3D6F">
              <w:t>hearing loss in newborns</w:t>
            </w:r>
            <w:r>
              <w:t>; and</w:t>
            </w:r>
          </w:p>
          <w:p w14:paraId="4E11E65A" w14:textId="77777777" w:rsidR="008D211A" w:rsidRDefault="005630E4" w:rsidP="00FD53AA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parent's or guardian's consent may be revoked at any time as provided by </w:t>
            </w:r>
            <w:r w:rsidR="00C91EE1">
              <w:t>the bill</w:t>
            </w:r>
            <w:r>
              <w:t>.</w:t>
            </w:r>
          </w:p>
          <w:p w14:paraId="1FBEEEBA" w14:textId="77777777" w:rsidR="00116787" w:rsidRDefault="005630E4" w:rsidP="00FD53AA">
            <w:pPr>
              <w:pStyle w:val="Header"/>
              <w:jc w:val="both"/>
            </w:pPr>
            <w:r>
              <w:t>The bill requires the commissioner of state health services to create the disclosure statement a</w:t>
            </w:r>
            <w:r w:rsidRPr="00116787">
              <w:t xml:space="preserve">s soon as practicable after the </w:t>
            </w:r>
            <w:r>
              <w:t xml:space="preserve">bill's </w:t>
            </w:r>
            <w:r w:rsidRPr="00116787">
              <w:t>effective date</w:t>
            </w:r>
            <w:r>
              <w:t>.</w:t>
            </w:r>
          </w:p>
          <w:p w14:paraId="7AD91BDA" w14:textId="77777777" w:rsidR="00F95C5E" w:rsidRDefault="00F95C5E" w:rsidP="00FD53AA">
            <w:pPr>
              <w:pStyle w:val="Header"/>
              <w:jc w:val="both"/>
            </w:pPr>
          </w:p>
          <w:p w14:paraId="760E6291" w14:textId="1ACB5A10" w:rsidR="00C91EE1" w:rsidRDefault="005630E4" w:rsidP="00FD53AA">
            <w:pPr>
              <w:pStyle w:val="Header"/>
              <w:jc w:val="both"/>
            </w:pPr>
            <w:r>
              <w:t xml:space="preserve">H.B. 2566 </w:t>
            </w:r>
            <w:r w:rsidR="008D4A95">
              <w:t xml:space="preserve">revises the provisions that require </w:t>
            </w:r>
            <w:r>
              <w:t xml:space="preserve">DSHS </w:t>
            </w:r>
            <w:r w:rsidR="008D4A95">
              <w:t>to</w:t>
            </w:r>
            <w:r w:rsidR="00993BEC">
              <w:t xml:space="preserve"> pe</w:t>
            </w:r>
            <w:r w:rsidR="008D4A95">
              <w:t>rmit consent through electronic</w:t>
            </w:r>
            <w:r w:rsidR="00993BEC">
              <w:t xml:space="preserve"> means, </w:t>
            </w:r>
            <w:r w:rsidR="008D4A95">
              <w:t xml:space="preserve">determine the manner of storing electronic consent records, and ensure access to the records by the attending physician. The bill </w:t>
            </w:r>
            <w:r w:rsidR="00632939">
              <w:t xml:space="preserve">provides that this process must </w:t>
            </w:r>
            <w:r w:rsidR="008D4A95">
              <w:t xml:space="preserve">also </w:t>
            </w:r>
            <w:r>
              <w:t>do the following:</w:t>
            </w:r>
          </w:p>
          <w:p w14:paraId="20E855EE" w14:textId="77777777" w:rsidR="00C91EE1" w:rsidRDefault="005630E4" w:rsidP="00FD53A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require a birthing facility during a birth admission to review with a newborn's parent the disclosure statement, obtain the required written or electronic consent of the parent</w:t>
            </w:r>
            <w:r>
              <w:t xml:space="preserve"> once, and, if the newborn's parent provides the consent, document the consent in the information management, reporting, and tracking system;</w:t>
            </w:r>
          </w:p>
          <w:p w14:paraId="0C354BAE" w14:textId="7F9F04F5" w:rsidR="00C91EE1" w:rsidRDefault="005630E4" w:rsidP="00FD53A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if the consent of a newborn's parent is not obtained, allow a follow-up provider of services to the newborn or inf</w:t>
            </w:r>
            <w:r>
              <w:t>ant to obtain the consent;</w:t>
            </w:r>
          </w:p>
          <w:p w14:paraId="73A4F8DF" w14:textId="77777777" w:rsidR="00C91EE1" w:rsidRDefault="005630E4" w:rsidP="00FD53AA">
            <w:pPr>
              <w:pStyle w:val="Header"/>
              <w:numPr>
                <w:ilvl w:val="0"/>
                <w:numId w:val="3"/>
              </w:numPr>
              <w:jc w:val="both"/>
            </w:pPr>
            <w:r w:rsidRPr="00F95C5E">
              <w:t>ensure the consent status of the parent or guardian of a patient is clearly indicated to follow-up providers accessing the information management,</w:t>
            </w:r>
            <w:r>
              <w:t xml:space="preserve"> reporting, and tracking system; and</w:t>
            </w:r>
          </w:p>
          <w:p w14:paraId="1AEC78BA" w14:textId="77777777" w:rsidR="00F95C5E" w:rsidRDefault="005630E4" w:rsidP="00FD53A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allow a parent or guardian of a newborn or inf</w:t>
            </w:r>
            <w:r>
              <w:t xml:space="preserve">ant to revoke, at any time, the parent's or guardian's </w:t>
            </w:r>
            <w:r w:rsidR="00C91EE1">
              <w:t xml:space="preserve">required </w:t>
            </w:r>
            <w:r>
              <w:t>consent for disclosure of information.</w:t>
            </w:r>
          </w:p>
          <w:p w14:paraId="7CE038D4" w14:textId="77777777" w:rsidR="00C91EE1" w:rsidRDefault="00C91EE1" w:rsidP="00FD53AA">
            <w:pPr>
              <w:pStyle w:val="Header"/>
              <w:jc w:val="both"/>
            </w:pPr>
          </w:p>
          <w:p w14:paraId="157172E7" w14:textId="128E1E36" w:rsidR="001012BE" w:rsidRDefault="005630E4" w:rsidP="00FD53AA">
            <w:pPr>
              <w:pStyle w:val="Header"/>
              <w:jc w:val="both"/>
            </w:pPr>
            <w:r>
              <w:t xml:space="preserve">H.B. 2566 </w:t>
            </w:r>
            <w:r w:rsidR="00002C9B">
              <w:t xml:space="preserve">amends the Occupations Code to </w:t>
            </w:r>
            <w:r w:rsidR="00224806">
              <w:t>require a</w:t>
            </w:r>
            <w:r>
              <w:t>n audiologist or a speech-language pathologist that provides screening or diagnostic services to newbo</w:t>
            </w:r>
            <w:r>
              <w:t xml:space="preserve">rns or infants </w:t>
            </w:r>
            <w:r w:rsidR="00224806">
              <w:t>to</w:t>
            </w:r>
            <w:r>
              <w:t xml:space="preserve"> follow the protocols for referrals and reporting as required by </w:t>
            </w:r>
            <w:r w:rsidR="003B23D0">
              <w:t xml:space="preserve">provisions relating to </w:t>
            </w:r>
            <w:r w:rsidR="003B23D0" w:rsidRPr="002B3D6F">
              <w:t>hearing loss in newborns</w:t>
            </w:r>
            <w:r>
              <w:t xml:space="preserve"> and </w:t>
            </w:r>
            <w:r w:rsidR="00224806">
              <w:t>HHSC</w:t>
            </w:r>
            <w:r>
              <w:t xml:space="preserve"> rules.</w:t>
            </w:r>
            <w:r w:rsidR="00224806">
              <w:t xml:space="preserve"> The bill</w:t>
            </w:r>
            <w:r>
              <w:t xml:space="preserve"> provides the following:</w:t>
            </w:r>
          </w:p>
          <w:p w14:paraId="7C651322" w14:textId="021B706A" w:rsidR="001012BE" w:rsidRDefault="005630E4" w:rsidP="00FD53A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Texas Commission of Licensing and Regulation (TCLR),</w:t>
            </w:r>
            <w:r w:rsidR="00224806">
              <w:t xml:space="preserve"> with</w:t>
            </w:r>
            <w:r w:rsidR="00C91EE1">
              <w:t xml:space="preserve"> the assistance of </w:t>
            </w:r>
            <w:r w:rsidR="00002C9B" w:rsidRPr="00002C9B">
              <w:t>the Speech-Language Pathologists and Audiologists Advisory Board</w:t>
            </w:r>
            <w:r w:rsidR="00C91EE1">
              <w:t xml:space="preserve">, </w:t>
            </w:r>
            <w:r>
              <w:t xml:space="preserve">must </w:t>
            </w:r>
            <w:r w:rsidR="00C91EE1">
              <w:t xml:space="preserve">adopt rules to establish requirements for referrals and reporting regarding newborn or infant hearing screenings or diagnostic services for purposes of </w:t>
            </w:r>
            <w:r w:rsidR="003B23D0">
              <w:t>those provisions</w:t>
            </w:r>
            <w:r>
              <w:t>;</w:t>
            </w:r>
            <w:r w:rsidR="000967E9">
              <w:t xml:space="preserve"> and</w:t>
            </w:r>
          </w:p>
          <w:p w14:paraId="40F1253C" w14:textId="6DAF67CD" w:rsidR="00C91EE1" w:rsidRDefault="005630E4" w:rsidP="00FD53AA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TCLR, </w:t>
            </w:r>
            <w:r w:rsidR="003B23D0">
              <w:t>i</w:t>
            </w:r>
            <w:r>
              <w:t xml:space="preserve">n adopting </w:t>
            </w:r>
            <w:r w:rsidR="003B23D0">
              <w:t xml:space="preserve">those </w:t>
            </w:r>
            <w:r>
              <w:t>rules,</w:t>
            </w:r>
            <w:r w:rsidR="003B23D0">
              <w:t xml:space="preserve"> </w:t>
            </w:r>
            <w:r w:rsidR="001012BE">
              <w:t xml:space="preserve">must </w:t>
            </w:r>
            <w:r>
              <w:t xml:space="preserve">consult with </w:t>
            </w:r>
            <w:r w:rsidR="00116787">
              <w:t>DSHS</w:t>
            </w:r>
            <w:r>
              <w:t xml:space="preserve"> or the executive commissioner of </w:t>
            </w:r>
            <w:r w:rsidR="00116787">
              <w:t>HHSC</w:t>
            </w:r>
            <w:r w:rsidR="003B23D0">
              <w:t xml:space="preserve"> as necessary</w:t>
            </w:r>
            <w:r w:rsidR="000967E9">
              <w:t>.</w:t>
            </w:r>
          </w:p>
          <w:p w14:paraId="6C50E752" w14:textId="5B481952" w:rsidR="008423E4" w:rsidRPr="00835628" w:rsidRDefault="008423E4" w:rsidP="00FD53AA">
            <w:pPr>
              <w:rPr>
                <w:b/>
              </w:rPr>
            </w:pPr>
          </w:p>
        </w:tc>
      </w:tr>
      <w:tr w:rsidR="00364A28" w14:paraId="64EA9ABB" w14:textId="77777777" w:rsidTr="00345119">
        <w:tc>
          <w:tcPr>
            <w:tcW w:w="9576" w:type="dxa"/>
          </w:tcPr>
          <w:p w14:paraId="4EA59B82" w14:textId="77777777" w:rsidR="008423E4" w:rsidRPr="00A8133F" w:rsidRDefault="005630E4" w:rsidP="00FD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4B9947" w14:textId="77777777" w:rsidR="008423E4" w:rsidRDefault="008423E4" w:rsidP="00FD53AA"/>
          <w:p w14:paraId="69440478" w14:textId="77777777" w:rsidR="008423E4" w:rsidRPr="003624F2" w:rsidRDefault="005630E4" w:rsidP="00FD5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6C5AF7" w14:textId="77777777" w:rsidR="008423E4" w:rsidRPr="00233FDB" w:rsidRDefault="008423E4" w:rsidP="00FD53AA">
            <w:pPr>
              <w:rPr>
                <w:b/>
              </w:rPr>
            </w:pPr>
          </w:p>
        </w:tc>
      </w:tr>
    </w:tbl>
    <w:p w14:paraId="173EF272" w14:textId="77777777" w:rsidR="008423E4" w:rsidRPr="00BE0E75" w:rsidRDefault="008423E4" w:rsidP="00FD53AA">
      <w:pPr>
        <w:jc w:val="both"/>
        <w:rPr>
          <w:rFonts w:ascii="Arial" w:hAnsi="Arial"/>
          <w:sz w:val="16"/>
          <w:szCs w:val="16"/>
        </w:rPr>
      </w:pPr>
    </w:p>
    <w:p w14:paraId="64E7B237" w14:textId="77777777" w:rsidR="004108C3" w:rsidRPr="008423E4" w:rsidRDefault="004108C3" w:rsidP="00FD53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0859" w14:textId="77777777" w:rsidR="00000000" w:rsidRDefault="005630E4">
      <w:r>
        <w:separator/>
      </w:r>
    </w:p>
  </w:endnote>
  <w:endnote w:type="continuationSeparator" w:id="0">
    <w:p w14:paraId="5A42A8CA" w14:textId="77777777" w:rsidR="00000000" w:rsidRDefault="0056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B5E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4A28" w14:paraId="7A734E9A" w14:textId="77777777" w:rsidTr="009C1E9A">
      <w:trPr>
        <w:cantSplit/>
      </w:trPr>
      <w:tc>
        <w:tcPr>
          <w:tcW w:w="0" w:type="pct"/>
        </w:tcPr>
        <w:p w14:paraId="61B1FC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2902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61CF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58E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C84E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A28" w14:paraId="58406693" w14:textId="77777777" w:rsidTr="009C1E9A">
      <w:trPr>
        <w:cantSplit/>
      </w:trPr>
      <w:tc>
        <w:tcPr>
          <w:tcW w:w="0" w:type="pct"/>
        </w:tcPr>
        <w:p w14:paraId="349B5D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66DB05" w14:textId="77777777" w:rsidR="00EC379B" w:rsidRPr="009C1E9A" w:rsidRDefault="005630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22474</w:t>
          </w:r>
        </w:p>
      </w:tc>
      <w:tc>
        <w:tcPr>
          <w:tcW w:w="2453" w:type="pct"/>
        </w:tcPr>
        <w:p w14:paraId="4FED28BB" w14:textId="7CFB9727" w:rsidR="00EC379B" w:rsidRDefault="005630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2529C">
            <w:t>21.117.829</w:t>
          </w:r>
          <w:r>
            <w:fldChar w:fldCharType="end"/>
          </w:r>
        </w:p>
      </w:tc>
    </w:tr>
    <w:tr w:rsidR="00364A28" w14:paraId="256140E2" w14:textId="77777777" w:rsidTr="009C1E9A">
      <w:trPr>
        <w:cantSplit/>
      </w:trPr>
      <w:tc>
        <w:tcPr>
          <w:tcW w:w="0" w:type="pct"/>
        </w:tcPr>
        <w:p w14:paraId="39ABEA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356971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EEEF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5C3B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A28" w14:paraId="516F0B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02E7FC" w14:textId="4F3CBEE3" w:rsidR="00EC379B" w:rsidRDefault="005630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D53A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D8A65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14A0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028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CE4A" w14:textId="77777777" w:rsidR="00000000" w:rsidRDefault="005630E4">
      <w:r>
        <w:separator/>
      </w:r>
    </w:p>
  </w:footnote>
  <w:footnote w:type="continuationSeparator" w:id="0">
    <w:p w14:paraId="438E708D" w14:textId="77777777" w:rsidR="00000000" w:rsidRDefault="0056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C37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CE4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D00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0FDD"/>
    <w:multiLevelType w:val="hybridMultilevel"/>
    <w:tmpl w:val="76FAE4A6"/>
    <w:lvl w:ilvl="0" w:tplc="76B6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46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1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A7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69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29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80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9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EF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138"/>
    <w:multiLevelType w:val="hybridMultilevel"/>
    <w:tmpl w:val="C7848C48"/>
    <w:lvl w:ilvl="0" w:tplc="63762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46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A7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D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7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AC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CE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8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0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77EE"/>
    <w:multiLevelType w:val="hybridMultilevel"/>
    <w:tmpl w:val="583ED8C8"/>
    <w:lvl w:ilvl="0" w:tplc="209C7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4E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ED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ED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46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A1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6D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26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4C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5700C"/>
    <w:multiLevelType w:val="hybridMultilevel"/>
    <w:tmpl w:val="85A47036"/>
    <w:lvl w:ilvl="0" w:tplc="84A6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61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0A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EF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44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CC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E5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E3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9"/>
    <w:rsid w:val="00000A70"/>
    <w:rsid w:val="00002C9B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955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7E9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4BF7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C85"/>
    <w:rsid w:val="000E5B20"/>
    <w:rsid w:val="000E7C14"/>
    <w:rsid w:val="000F094C"/>
    <w:rsid w:val="000F18A2"/>
    <w:rsid w:val="000F2A7F"/>
    <w:rsid w:val="000F3DBD"/>
    <w:rsid w:val="000F5843"/>
    <w:rsid w:val="000F6A06"/>
    <w:rsid w:val="001012B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787"/>
    <w:rsid w:val="001169F9"/>
    <w:rsid w:val="00116C21"/>
    <w:rsid w:val="00120797"/>
    <w:rsid w:val="0012371B"/>
    <w:rsid w:val="001245C8"/>
    <w:rsid w:val="00124653"/>
    <w:rsid w:val="001247C5"/>
    <w:rsid w:val="00127893"/>
    <w:rsid w:val="001312BB"/>
    <w:rsid w:val="00133CF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57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E6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806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D6F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6DC"/>
    <w:rsid w:val="002E21B8"/>
    <w:rsid w:val="002E7DF9"/>
    <w:rsid w:val="002F097B"/>
    <w:rsid w:val="002F3111"/>
    <w:rsid w:val="002F4AEC"/>
    <w:rsid w:val="002F661A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782"/>
    <w:rsid w:val="00336BA4"/>
    <w:rsid w:val="00336C7A"/>
    <w:rsid w:val="00337392"/>
    <w:rsid w:val="00337659"/>
    <w:rsid w:val="003427C9"/>
    <w:rsid w:val="00343A92"/>
    <w:rsid w:val="00344530"/>
    <w:rsid w:val="003446DC"/>
    <w:rsid w:val="0034728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A28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3D0"/>
    <w:rsid w:val="003B2891"/>
    <w:rsid w:val="003B3DF3"/>
    <w:rsid w:val="003B48E2"/>
    <w:rsid w:val="003B4E66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7C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246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949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C9D"/>
    <w:rsid w:val="004F32AD"/>
    <w:rsid w:val="004F57CB"/>
    <w:rsid w:val="004F64F6"/>
    <w:rsid w:val="004F69C0"/>
    <w:rsid w:val="004F69E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E4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404"/>
    <w:rsid w:val="00595745"/>
    <w:rsid w:val="005A0E18"/>
    <w:rsid w:val="005A12A5"/>
    <w:rsid w:val="005A3790"/>
    <w:rsid w:val="005A3CCB"/>
    <w:rsid w:val="005A6D13"/>
    <w:rsid w:val="005B031F"/>
    <w:rsid w:val="005B3298"/>
    <w:rsid w:val="005B46CF"/>
    <w:rsid w:val="005B5516"/>
    <w:rsid w:val="005B5D2B"/>
    <w:rsid w:val="005C02E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939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5C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A0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0B2"/>
    <w:rsid w:val="007509BE"/>
    <w:rsid w:val="0075287B"/>
    <w:rsid w:val="00755C7B"/>
    <w:rsid w:val="00764786"/>
    <w:rsid w:val="007657A2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509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0B5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43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BCB"/>
    <w:rsid w:val="008726E5"/>
    <w:rsid w:val="0087289E"/>
    <w:rsid w:val="00874C05"/>
    <w:rsid w:val="00875A5A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3B0"/>
    <w:rsid w:val="008C3FD0"/>
    <w:rsid w:val="008D211A"/>
    <w:rsid w:val="008D27A5"/>
    <w:rsid w:val="008D2AAB"/>
    <w:rsid w:val="008D309C"/>
    <w:rsid w:val="008D4A9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87"/>
    <w:rsid w:val="00907EDD"/>
    <w:rsid w:val="009107AD"/>
    <w:rsid w:val="00915568"/>
    <w:rsid w:val="00917E0C"/>
    <w:rsid w:val="009203DE"/>
    <w:rsid w:val="00920711"/>
    <w:rsid w:val="00921A1E"/>
    <w:rsid w:val="00923A11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4F6"/>
    <w:rsid w:val="0098170E"/>
    <w:rsid w:val="0098285C"/>
    <w:rsid w:val="00983B56"/>
    <w:rsid w:val="009847FD"/>
    <w:rsid w:val="009851B3"/>
    <w:rsid w:val="00985300"/>
    <w:rsid w:val="00986720"/>
    <w:rsid w:val="00987F00"/>
    <w:rsid w:val="00993BEC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00F"/>
    <w:rsid w:val="009C43A5"/>
    <w:rsid w:val="009C5A1D"/>
    <w:rsid w:val="009C6B08"/>
    <w:rsid w:val="009C70FC"/>
    <w:rsid w:val="009D002B"/>
    <w:rsid w:val="009D37C7"/>
    <w:rsid w:val="009D4BBD"/>
    <w:rsid w:val="009D5A41"/>
    <w:rsid w:val="009D7B4E"/>
    <w:rsid w:val="009E13BF"/>
    <w:rsid w:val="009E3631"/>
    <w:rsid w:val="009E3EB9"/>
    <w:rsid w:val="009E69C2"/>
    <w:rsid w:val="009E70AF"/>
    <w:rsid w:val="009E7A0D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BE8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5C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D43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45A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11E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1B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EE1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749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D7A"/>
    <w:rsid w:val="00D060A8"/>
    <w:rsid w:val="00D06605"/>
    <w:rsid w:val="00D0720F"/>
    <w:rsid w:val="00D074E2"/>
    <w:rsid w:val="00D108EA"/>
    <w:rsid w:val="00D11B0B"/>
    <w:rsid w:val="00D12A3E"/>
    <w:rsid w:val="00D22160"/>
    <w:rsid w:val="00D22172"/>
    <w:rsid w:val="00D2301B"/>
    <w:rsid w:val="00D239EE"/>
    <w:rsid w:val="00D2529C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19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318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948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317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3D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167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0B2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885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A99"/>
    <w:rsid w:val="00F84153"/>
    <w:rsid w:val="00F85661"/>
    <w:rsid w:val="00F95C5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3AA"/>
    <w:rsid w:val="00FE19C5"/>
    <w:rsid w:val="00FE4286"/>
    <w:rsid w:val="00FE48C3"/>
    <w:rsid w:val="00FE574A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3DB08E-C341-4BF4-8218-E95100F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C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C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5050</Characters>
  <Application>Microsoft Office Word</Application>
  <DocSecurity>4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HB02566 (Committee Report (Unamended))</vt:lpstr>
    </vt:vector>
  </TitlesOfParts>
  <Company>State of Texas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22474</dc:subject>
  <dc:creator>State of Texas</dc:creator>
  <dc:description>HB 2566 by Darby-(H)Public Health</dc:description>
  <cp:lastModifiedBy>Stacey Nicchio</cp:lastModifiedBy>
  <cp:revision>2</cp:revision>
  <cp:lastPrinted>2003-11-26T17:21:00Z</cp:lastPrinted>
  <dcterms:created xsi:type="dcterms:W3CDTF">2021-04-28T23:13:00Z</dcterms:created>
  <dcterms:modified xsi:type="dcterms:W3CDTF">2021-04-28T23:13:00Z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21.117.829</vt:lpwstr>
  </property>
</Properties>
</file>