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F0688" w14:paraId="59CE355E" w14:textId="77777777" w:rsidTr="00345119">
        <w:tc>
          <w:tcPr>
            <w:tcW w:w="9576" w:type="dxa"/>
            <w:noWrap/>
          </w:tcPr>
          <w:p w14:paraId="641020FB" w14:textId="77777777" w:rsidR="008423E4" w:rsidRPr="0022177D" w:rsidRDefault="000A33A3" w:rsidP="0026426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6E249F0" w14:textId="77777777" w:rsidR="008423E4" w:rsidRPr="0022177D" w:rsidRDefault="008423E4" w:rsidP="0026426A">
      <w:pPr>
        <w:jc w:val="center"/>
      </w:pPr>
    </w:p>
    <w:p w14:paraId="423B6084" w14:textId="77777777" w:rsidR="008423E4" w:rsidRPr="00B31F0E" w:rsidRDefault="008423E4" w:rsidP="0026426A"/>
    <w:p w14:paraId="7AF28A1B" w14:textId="77777777" w:rsidR="008423E4" w:rsidRPr="00742794" w:rsidRDefault="008423E4" w:rsidP="0026426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F0688" w14:paraId="060C3E34" w14:textId="77777777" w:rsidTr="00345119">
        <w:tc>
          <w:tcPr>
            <w:tcW w:w="9576" w:type="dxa"/>
          </w:tcPr>
          <w:p w14:paraId="45A92C10" w14:textId="3AE054EF" w:rsidR="008423E4" w:rsidRPr="00861995" w:rsidRDefault="000A33A3" w:rsidP="0026426A">
            <w:pPr>
              <w:jc w:val="right"/>
            </w:pPr>
            <w:r>
              <w:t>H.B. 2607</w:t>
            </w:r>
          </w:p>
        </w:tc>
      </w:tr>
      <w:tr w:rsidR="00DF0688" w14:paraId="076CBE48" w14:textId="77777777" w:rsidTr="00345119">
        <w:tc>
          <w:tcPr>
            <w:tcW w:w="9576" w:type="dxa"/>
          </w:tcPr>
          <w:p w14:paraId="1EBB02F2" w14:textId="57961CD1" w:rsidR="008423E4" w:rsidRPr="00861995" w:rsidRDefault="000A33A3" w:rsidP="0026426A">
            <w:pPr>
              <w:jc w:val="right"/>
            </w:pPr>
            <w:r>
              <w:t xml:space="preserve">By: </w:t>
            </w:r>
            <w:r w:rsidR="0036082A">
              <w:t>Talarico</w:t>
            </w:r>
          </w:p>
        </w:tc>
      </w:tr>
      <w:tr w:rsidR="00DF0688" w14:paraId="4E0DCD95" w14:textId="77777777" w:rsidTr="00345119">
        <w:tc>
          <w:tcPr>
            <w:tcW w:w="9576" w:type="dxa"/>
          </w:tcPr>
          <w:p w14:paraId="71CC84C1" w14:textId="669AEE60" w:rsidR="008423E4" w:rsidRPr="00861995" w:rsidRDefault="000A33A3" w:rsidP="0026426A">
            <w:pPr>
              <w:jc w:val="right"/>
            </w:pPr>
            <w:r>
              <w:t>International Relations &amp; Economic Development</w:t>
            </w:r>
          </w:p>
        </w:tc>
      </w:tr>
      <w:tr w:rsidR="00DF0688" w14:paraId="1E03F0AE" w14:textId="77777777" w:rsidTr="00345119">
        <w:tc>
          <w:tcPr>
            <w:tcW w:w="9576" w:type="dxa"/>
          </w:tcPr>
          <w:p w14:paraId="0294B582" w14:textId="57DC6377" w:rsidR="008423E4" w:rsidRDefault="000A33A3" w:rsidP="0026426A">
            <w:pPr>
              <w:jc w:val="right"/>
            </w:pPr>
            <w:r>
              <w:t>Committee Report (Unamended)</w:t>
            </w:r>
          </w:p>
        </w:tc>
      </w:tr>
    </w:tbl>
    <w:p w14:paraId="1834FC63" w14:textId="77777777" w:rsidR="008423E4" w:rsidRDefault="008423E4" w:rsidP="0026426A">
      <w:pPr>
        <w:tabs>
          <w:tab w:val="right" w:pos="9360"/>
        </w:tabs>
      </w:pPr>
    </w:p>
    <w:p w14:paraId="43C31CC9" w14:textId="77777777" w:rsidR="008423E4" w:rsidRDefault="008423E4" w:rsidP="0026426A"/>
    <w:p w14:paraId="2F34150D" w14:textId="77777777" w:rsidR="008423E4" w:rsidRDefault="008423E4" w:rsidP="0026426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F0688" w14:paraId="757F5359" w14:textId="77777777" w:rsidTr="00345119">
        <w:tc>
          <w:tcPr>
            <w:tcW w:w="9576" w:type="dxa"/>
          </w:tcPr>
          <w:p w14:paraId="7C1858E1" w14:textId="77777777" w:rsidR="008423E4" w:rsidRPr="00A8133F" w:rsidRDefault="000A33A3" w:rsidP="0026426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D16A2AE" w14:textId="77777777" w:rsidR="008423E4" w:rsidRDefault="008423E4" w:rsidP="0026426A"/>
          <w:p w14:paraId="58087A06" w14:textId="2A7BC1F3" w:rsidR="00C65B7E" w:rsidRDefault="000A33A3" w:rsidP="002642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 w:rsidR="009F0FBC">
              <w:t>ubsidized</w:t>
            </w:r>
            <w:r w:rsidR="00F812C0" w:rsidRPr="00F812C0">
              <w:t xml:space="preserve"> child</w:t>
            </w:r>
            <w:r w:rsidR="00E77C81">
              <w:t xml:space="preserve"> </w:t>
            </w:r>
            <w:r w:rsidR="00F812C0" w:rsidRPr="00F812C0">
              <w:t>care</w:t>
            </w:r>
            <w:r w:rsidR="009F0FBC">
              <w:t xml:space="preserve"> for low-income working families</w:t>
            </w:r>
            <w:r w:rsidR="00F812C0" w:rsidRPr="00F812C0">
              <w:t xml:space="preserve"> </w:t>
            </w:r>
            <w:r w:rsidR="00E5126D">
              <w:t>does</w:t>
            </w:r>
            <w:r w:rsidR="00F812C0" w:rsidRPr="00F812C0">
              <w:t xml:space="preserve"> not</w:t>
            </w:r>
            <w:r w:rsidR="00C41FEF">
              <w:t xml:space="preserve"> </w:t>
            </w:r>
            <w:r w:rsidR="00953D42">
              <w:t xml:space="preserve">consistently </w:t>
            </w:r>
            <w:r w:rsidR="00E5126D">
              <w:t xml:space="preserve">provide </w:t>
            </w:r>
            <w:r w:rsidR="00C41FEF">
              <w:t>the</w:t>
            </w:r>
            <w:r w:rsidR="00F812C0" w:rsidRPr="00F812C0">
              <w:t xml:space="preserve"> </w:t>
            </w:r>
            <w:r w:rsidR="00003663">
              <w:t>high-</w:t>
            </w:r>
            <w:r w:rsidR="00F812C0" w:rsidRPr="00F812C0">
              <w:t>quality</w:t>
            </w:r>
            <w:r w:rsidR="009F0FBC">
              <w:t xml:space="preserve"> </w:t>
            </w:r>
            <w:r w:rsidR="00003663">
              <w:t>child</w:t>
            </w:r>
            <w:r w:rsidR="00E77C81">
              <w:t xml:space="preserve"> </w:t>
            </w:r>
            <w:r w:rsidR="00C41FEF">
              <w:t>care</w:t>
            </w:r>
            <w:r w:rsidR="00003663">
              <w:t xml:space="preserve"> choices for these families</w:t>
            </w:r>
            <w:r w:rsidR="00C41FEF">
              <w:t xml:space="preserve"> </w:t>
            </w:r>
            <w:r w:rsidR="009F0FBC">
              <w:t>that</w:t>
            </w:r>
            <w:r w:rsidR="00003663">
              <w:t xml:space="preserve"> they deserve and that</w:t>
            </w:r>
            <w:r w:rsidR="00C41FEF">
              <w:t xml:space="preserve"> </w:t>
            </w:r>
            <w:r w:rsidR="00F812C0" w:rsidRPr="00F812C0">
              <w:t xml:space="preserve">Texas taxpayers </w:t>
            </w:r>
            <w:r w:rsidR="00C41FEF">
              <w:t>expect</w:t>
            </w:r>
            <w:r w:rsidR="00F812C0" w:rsidRPr="00F812C0">
              <w:t xml:space="preserve"> from </w:t>
            </w:r>
            <w:r w:rsidR="00C41FEF">
              <w:t>their</w:t>
            </w:r>
            <w:r w:rsidR="00F812C0" w:rsidRPr="00F812C0">
              <w:t xml:space="preserve"> </w:t>
            </w:r>
            <w:r>
              <w:t xml:space="preserve">considerable </w:t>
            </w:r>
            <w:r w:rsidR="00F812C0" w:rsidRPr="00F812C0">
              <w:t xml:space="preserve">investment in </w:t>
            </w:r>
            <w:r w:rsidR="00003663">
              <w:t>such support</w:t>
            </w:r>
            <w:r w:rsidR="00F812C0" w:rsidRPr="00F812C0">
              <w:t xml:space="preserve">. </w:t>
            </w:r>
            <w:r>
              <w:t>There is a concern that ch</w:t>
            </w:r>
            <w:r w:rsidRPr="00F812C0">
              <w:t xml:space="preserve">ildren </w:t>
            </w:r>
            <w:r>
              <w:t xml:space="preserve">and families </w:t>
            </w:r>
            <w:r w:rsidRPr="00F812C0">
              <w:t>in Texas who would benefit</w:t>
            </w:r>
            <w:r>
              <w:t xml:space="preserve"> the most</w:t>
            </w:r>
            <w:r w:rsidRPr="00F812C0">
              <w:t xml:space="preserve"> from </w:t>
            </w:r>
            <w:r>
              <w:t>high-</w:t>
            </w:r>
            <w:r w:rsidRPr="00F812C0">
              <w:t>quality child</w:t>
            </w:r>
            <w:r w:rsidR="00E77C81">
              <w:t xml:space="preserve"> </w:t>
            </w:r>
            <w:r w:rsidRPr="00F812C0">
              <w:t xml:space="preserve">care are among the least likely to receive </w:t>
            </w:r>
            <w:r>
              <w:t xml:space="preserve">it, </w:t>
            </w:r>
            <w:r w:rsidRPr="00F812C0">
              <w:t xml:space="preserve">even if the state is </w:t>
            </w:r>
            <w:r>
              <w:t>subsidizing</w:t>
            </w:r>
            <w:r w:rsidRPr="00F812C0">
              <w:t xml:space="preserve"> that care. </w:t>
            </w:r>
          </w:p>
          <w:p w14:paraId="0159D5BD" w14:textId="77777777" w:rsidR="00C65B7E" w:rsidRDefault="00C65B7E" w:rsidP="002642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5635D54" w14:textId="0420E8CA" w:rsidR="00F812C0" w:rsidRDefault="000A33A3" w:rsidP="002642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High-quality child care available </w:t>
            </w:r>
            <w:r w:rsidR="00583AF0">
              <w:t xml:space="preserve">through the </w:t>
            </w:r>
            <w:r>
              <w:t xml:space="preserve">Texas </w:t>
            </w:r>
            <w:r w:rsidR="009C5E9E">
              <w:t>Rising Star P</w:t>
            </w:r>
            <w:r>
              <w:t xml:space="preserve">rogram not only benefits </w:t>
            </w:r>
            <w:r w:rsidR="00C65B7E">
              <w:t xml:space="preserve">these working families but also benefits all </w:t>
            </w:r>
            <w:r>
              <w:t xml:space="preserve">Texas schools </w:t>
            </w:r>
            <w:r w:rsidR="00003663">
              <w:t xml:space="preserve">by </w:t>
            </w:r>
            <w:r w:rsidR="00C65B7E">
              <w:t>ensuring that</w:t>
            </w:r>
            <w:r>
              <w:t xml:space="preserve"> </w:t>
            </w:r>
            <w:r w:rsidR="00003663">
              <w:t>young children</w:t>
            </w:r>
            <w:r w:rsidR="00C65B7E">
              <w:t xml:space="preserve"> are better prepared</w:t>
            </w:r>
            <w:r w:rsidR="00003663">
              <w:t xml:space="preserve"> for prekindergarten</w:t>
            </w:r>
            <w:r w:rsidR="00C65B7E">
              <w:t xml:space="preserve">. </w:t>
            </w:r>
            <w:r w:rsidR="00583AF0">
              <w:t>But there are ongoing concerns that there are not enough qualified providers offering high-quality care through that program.</w:t>
            </w:r>
            <w:r w:rsidR="009C5E9E">
              <w:t xml:space="preserve"> </w:t>
            </w:r>
            <w:r w:rsidRPr="00F812C0">
              <w:t>H</w:t>
            </w:r>
            <w:r w:rsidR="00BB3D20">
              <w:t>.</w:t>
            </w:r>
            <w:r w:rsidRPr="00F812C0">
              <w:t>B</w:t>
            </w:r>
            <w:r w:rsidR="00BB3D20">
              <w:t>.</w:t>
            </w:r>
            <w:r w:rsidRPr="00F812C0">
              <w:t xml:space="preserve"> 2607 </w:t>
            </w:r>
            <w:r w:rsidR="00DE62EB">
              <w:t>se</w:t>
            </w:r>
            <w:r w:rsidR="004729C2">
              <w:t xml:space="preserve">eks to address these concerns by </w:t>
            </w:r>
            <w:r w:rsidR="0089305C">
              <w:t xml:space="preserve">including an entry level rating for child-care providers to participate in the Texas Rising Star program and </w:t>
            </w:r>
            <w:r w:rsidRPr="00F812C0">
              <w:t>requi</w:t>
            </w:r>
            <w:r w:rsidR="0089305C">
              <w:t xml:space="preserve">ring TWC to assess </w:t>
            </w:r>
            <w:r w:rsidR="0089305C" w:rsidRPr="0089305C">
              <w:t>the number of 3-star and 4-star rated child</w:t>
            </w:r>
            <w:r w:rsidR="00E77C81">
              <w:noBreakHyphen/>
            </w:r>
            <w:r w:rsidR="0089305C" w:rsidRPr="0089305C">
              <w:t>care providers participating in partnerships with public school districts and public charter</w:t>
            </w:r>
            <w:r w:rsidR="00372901">
              <w:t xml:space="preserve"> schools</w:t>
            </w:r>
            <w:r w:rsidRPr="00F812C0">
              <w:t>.</w:t>
            </w:r>
          </w:p>
          <w:p w14:paraId="57AF2730" w14:textId="77777777" w:rsidR="008423E4" w:rsidRPr="00E26B13" w:rsidRDefault="008423E4" w:rsidP="0026426A">
            <w:pPr>
              <w:rPr>
                <w:b/>
              </w:rPr>
            </w:pPr>
          </w:p>
        </w:tc>
      </w:tr>
      <w:tr w:rsidR="00DF0688" w14:paraId="3CD560D7" w14:textId="77777777" w:rsidTr="00345119">
        <w:tc>
          <w:tcPr>
            <w:tcW w:w="9576" w:type="dxa"/>
          </w:tcPr>
          <w:p w14:paraId="30AD614A" w14:textId="77777777" w:rsidR="0017725B" w:rsidRDefault="000A33A3" w:rsidP="002642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</w:t>
            </w:r>
            <w:r>
              <w:rPr>
                <w:b/>
                <w:u w:val="single"/>
              </w:rPr>
              <w:t>RIMINAL JUSTICE IMPACT</w:t>
            </w:r>
          </w:p>
          <w:p w14:paraId="067A135A" w14:textId="77777777" w:rsidR="0017725B" w:rsidRDefault="0017725B" w:rsidP="0026426A">
            <w:pPr>
              <w:rPr>
                <w:b/>
                <w:u w:val="single"/>
              </w:rPr>
            </w:pPr>
          </w:p>
          <w:p w14:paraId="14451168" w14:textId="77777777" w:rsidR="006828D0" w:rsidRPr="006828D0" w:rsidRDefault="000A33A3" w:rsidP="0026426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</w:t>
            </w:r>
            <w:r>
              <w:t>sion, parole, or mandatory supervision.</w:t>
            </w:r>
          </w:p>
          <w:p w14:paraId="38B96E9D" w14:textId="77777777" w:rsidR="0017725B" w:rsidRPr="0017725B" w:rsidRDefault="0017725B" w:rsidP="0026426A">
            <w:pPr>
              <w:rPr>
                <w:b/>
                <w:u w:val="single"/>
              </w:rPr>
            </w:pPr>
          </w:p>
        </w:tc>
      </w:tr>
      <w:tr w:rsidR="00DF0688" w14:paraId="640AA4EF" w14:textId="77777777" w:rsidTr="00345119">
        <w:tc>
          <w:tcPr>
            <w:tcW w:w="9576" w:type="dxa"/>
          </w:tcPr>
          <w:p w14:paraId="60F0EFD8" w14:textId="77777777" w:rsidR="008423E4" w:rsidRPr="00A8133F" w:rsidRDefault="000A33A3" w:rsidP="0026426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62E2636" w14:textId="77777777" w:rsidR="008423E4" w:rsidRDefault="008423E4" w:rsidP="0026426A"/>
          <w:p w14:paraId="037C98F2" w14:textId="77777777" w:rsidR="006828D0" w:rsidRDefault="000A33A3" w:rsidP="002642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E043FA6" w14:textId="77777777" w:rsidR="008423E4" w:rsidRPr="00E21FDC" w:rsidRDefault="008423E4" w:rsidP="0026426A">
            <w:pPr>
              <w:rPr>
                <w:b/>
              </w:rPr>
            </w:pPr>
          </w:p>
        </w:tc>
      </w:tr>
      <w:tr w:rsidR="00DF0688" w14:paraId="45D5B997" w14:textId="77777777" w:rsidTr="00345119">
        <w:tc>
          <w:tcPr>
            <w:tcW w:w="9576" w:type="dxa"/>
          </w:tcPr>
          <w:p w14:paraId="076658AB" w14:textId="77777777" w:rsidR="008423E4" w:rsidRPr="00A8133F" w:rsidRDefault="000A33A3" w:rsidP="0026426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C64448D" w14:textId="77777777" w:rsidR="008423E4" w:rsidRDefault="008423E4" w:rsidP="0026426A"/>
          <w:p w14:paraId="1CA38C07" w14:textId="5D8E0BD6" w:rsidR="007E404A" w:rsidRDefault="000A33A3" w:rsidP="002642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2607 amends</w:t>
            </w:r>
            <w:r>
              <w:t xml:space="preserve"> the Government Code to</w:t>
            </w:r>
            <w:r w:rsidR="000222C4">
              <w:t xml:space="preserve"> </w:t>
            </w:r>
            <w:r w:rsidR="008F1FC6">
              <w:t xml:space="preserve">provide the following with respect to the </w:t>
            </w:r>
            <w:r>
              <w:t>Texas Rising Star Program:</w:t>
            </w:r>
          </w:p>
          <w:p w14:paraId="5EC82A18" w14:textId="05147157" w:rsidR="007E404A" w:rsidRDefault="000A33A3" w:rsidP="0026426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program must</w:t>
            </w:r>
            <w:r w:rsidR="009F7321" w:rsidRPr="009F7321">
              <w:t xml:space="preserve"> include an entry level rating for child</w:t>
            </w:r>
            <w:r w:rsidR="000033D9">
              <w:t>-</w:t>
            </w:r>
            <w:r w:rsidR="009F7321" w:rsidRPr="009F7321">
              <w:t>care providers and a maximum length of time a provider may particip</w:t>
            </w:r>
            <w:r w:rsidR="009F7321">
              <w:t>ate at the entry level rating</w:t>
            </w:r>
            <w:r>
              <w:t>;</w:t>
            </w:r>
            <w:r w:rsidR="009F7321">
              <w:t xml:space="preserve"> </w:t>
            </w:r>
          </w:p>
          <w:p w14:paraId="79F7937B" w14:textId="6301A11E" w:rsidR="007E404A" w:rsidRDefault="000A33A3" w:rsidP="0026426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</w:t>
            </w:r>
            <w:r w:rsidR="000033D9">
              <w:t>child-care provider</w:t>
            </w:r>
            <w:r w:rsidR="001F3827">
              <w:t>, for qualification</w:t>
            </w:r>
            <w:r w:rsidRPr="009F7321">
              <w:t xml:space="preserve"> for the entry level rating</w:t>
            </w:r>
            <w:r w:rsidR="001F3827">
              <w:t>,</w:t>
            </w:r>
            <w:r w:rsidRPr="009F7321">
              <w:t xml:space="preserve"> </w:t>
            </w:r>
            <w:r>
              <w:t xml:space="preserve">must </w:t>
            </w:r>
            <w:r w:rsidRPr="009F7321">
              <w:t>meet the minimum quality standards that qualify the provider to receive technical assistance and suppo</w:t>
            </w:r>
            <w:r w:rsidR="001F3827">
              <w:t>rt under the program</w:t>
            </w:r>
            <w:r>
              <w:t>; and</w:t>
            </w:r>
            <w:r w:rsidR="001F3827">
              <w:t xml:space="preserve"> </w:t>
            </w:r>
          </w:p>
          <w:p w14:paraId="2DA6CA69" w14:textId="1E98D55E" w:rsidR="009C36CD" w:rsidRDefault="000A33A3" w:rsidP="0026426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</w:t>
            </w:r>
            <w:r w:rsidR="009F7321" w:rsidRPr="009F7321">
              <w:t xml:space="preserve"> provider participating </w:t>
            </w:r>
            <w:r>
              <w:t xml:space="preserve">at the entry level rating </w:t>
            </w:r>
            <w:r w:rsidR="007E404A">
              <w:t xml:space="preserve">is not eligible </w:t>
            </w:r>
            <w:r w:rsidR="009F7321" w:rsidRPr="009F7321">
              <w:t>for increased reimbursement rates.</w:t>
            </w:r>
            <w:r w:rsidR="00F765CA">
              <w:t xml:space="preserve"> </w:t>
            </w:r>
          </w:p>
          <w:p w14:paraId="72AFFB47" w14:textId="77777777" w:rsidR="00810756" w:rsidRDefault="00810756" w:rsidP="002642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45FED49" w14:textId="7D8F4161" w:rsidR="00D32D35" w:rsidRDefault="000A33A3" w:rsidP="002642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2C627D">
              <w:t>2</w:t>
            </w:r>
            <w:r w:rsidR="00BF6942">
              <w:t>607</w:t>
            </w:r>
            <w:r w:rsidR="002C627D">
              <w:t xml:space="preserve"> </w:t>
            </w:r>
            <w:r>
              <w:t xml:space="preserve">amends the Labor Code, with respect to the </w:t>
            </w:r>
            <w:r w:rsidR="00F765CA">
              <w:t xml:space="preserve">Texas Workforce Commission's (TWC) annual </w:t>
            </w:r>
            <w:r w:rsidR="00F765CA" w:rsidRPr="00F765CA">
              <w:t>evaluation of allocation formulas for child</w:t>
            </w:r>
            <w:r w:rsidR="007B2217">
              <w:t>-</w:t>
            </w:r>
            <w:r w:rsidR="00F765CA" w:rsidRPr="00F765CA">
              <w:t>care development funds</w:t>
            </w:r>
            <w:r>
              <w:t xml:space="preserve">, </w:t>
            </w:r>
            <w:r w:rsidR="00F765CA">
              <w:t>to</w:t>
            </w:r>
            <w:r>
              <w:t xml:space="preserve"> provide the following:</w:t>
            </w:r>
          </w:p>
          <w:p w14:paraId="23544704" w14:textId="1605FEAB" w:rsidR="00D32D35" w:rsidRDefault="000A33A3" w:rsidP="0026426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TWC must </w:t>
            </w:r>
            <w:r w:rsidR="00F765CA">
              <w:t xml:space="preserve">assess </w:t>
            </w:r>
            <w:r w:rsidR="00F765CA" w:rsidRPr="00F765CA">
              <w:t xml:space="preserve">the number of 3-star and 4-star rated </w:t>
            </w:r>
            <w:r w:rsidR="000033D9">
              <w:t>child-care provider</w:t>
            </w:r>
            <w:r w:rsidR="00F765CA" w:rsidRPr="00F765CA">
              <w:t xml:space="preserve">s participating in partnerships with public school districts and </w:t>
            </w:r>
            <w:r w:rsidR="002C627D">
              <w:t xml:space="preserve">public </w:t>
            </w:r>
            <w:r w:rsidR="00F765CA" w:rsidRPr="00F765CA">
              <w:t>charter schools based on data provided by the Texas Education Agency, as necessary</w:t>
            </w:r>
            <w:r>
              <w:t>; and</w:t>
            </w:r>
            <w:r w:rsidR="00AC1E57">
              <w:t xml:space="preserve"> </w:t>
            </w:r>
          </w:p>
          <w:p w14:paraId="6447CA87" w14:textId="7F079493" w:rsidR="00810756" w:rsidRDefault="000A33A3" w:rsidP="0026426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="00AC1E57" w:rsidRPr="00AC1E57">
              <w:t>number of places that are reserved for</w:t>
            </w:r>
            <w:r w:rsidR="006C6C2F">
              <w:t xml:space="preserve"> certain</w:t>
            </w:r>
            <w:r w:rsidR="00AC1E57" w:rsidRPr="00AC1E57">
              <w:t xml:space="preserve"> participants in</w:t>
            </w:r>
            <w:r w:rsidR="00C4184F">
              <w:t xml:space="preserve"> the program</w:t>
            </w:r>
            <w:r w:rsidR="006C6C2F">
              <w:t xml:space="preserve"> are reserved by </w:t>
            </w:r>
            <w:r w:rsidR="006C6C2F" w:rsidRPr="006C6C2F">
              <w:t xml:space="preserve">each local workforce development board </w:t>
            </w:r>
            <w:r>
              <w:t xml:space="preserve">authorized under </w:t>
            </w:r>
            <w:r w:rsidR="000033D9">
              <w:t>child-care provider</w:t>
            </w:r>
            <w:r w:rsidR="006C6C2F" w:rsidRPr="006C6C2F">
              <w:t xml:space="preserve"> contract</w:t>
            </w:r>
            <w:r>
              <w:t xml:space="preserve"> agreements</w:t>
            </w:r>
            <w:r w:rsidR="00B14D01">
              <w:t xml:space="preserve">. </w:t>
            </w:r>
          </w:p>
          <w:p w14:paraId="31318113" w14:textId="77777777" w:rsidR="00B14D01" w:rsidRDefault="00B14D01" w:rsidP="002642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3A78D33" w14:textId="77777777" w:rsidR="00BF6942" w:rsidRDefault="000A33A3" w:rsidP="002642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2607 requires each</w:t>
            </w:r>
            <w:r w:rsidRPr="00B14D01">
              <w:t xml:space="preserve"> local </w:t>
            </w:r>
            <w:r>
              <w:t>workforce development board to</w:t>
            </w:r>
            <w:r w:rsidRPr="00B14D01">
              <w:t xml:space="preserve"> inform the local school districts and o</w:t>
            </w:r>
            <w:r w:rsidRPr="00B14D01">
              <w:t>pen-enrollment charter schools in the workforce development area regarding opportunities to partner with child-care providers in the board's area to expand access to and provide facilities for prekindergarten programs.</w:t>
            </w:r>
            <w:r>
              <w:t xml:space="preserve"> </w:t>
            </w:r>
          </w:p>
          <w:p w14:paraId="0BA92020" w14:textId="77777777" w:rsidR="00BF6942" w:rsidRDefault="00BF6942" w:rsidP="002642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DD3AFEE" w14:textId="2977A5E0" w:rsidR="00BF6942" w:rsidRDefault="000A33A3" w:rsidP="002642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2607, with respect to </w:t>
            </w:r>
            <w:r w:rsidR="00FB636E">
              <w:t>child-care provider</w:t>
            </w:r>
            <w:r>
              <w:t xml:space="preserve"> contract agreements, </w:t>
            </w:r>
            <w:r w:rsidR="00133D48">
              <w:t xml:space="preserve">changes the requirement for a local workforce development board to update the report evaluating </w:t>
            </w:r>
            <w:r w:rsidR="00FB636E">
              <w:t>child-care provider</w:t>
            </w:r>
            <w:r w:rsidR="00133D48">
              <w:t xml:space="preserve"> contracts every six months to require that the update </w:t>
            </w:r>
            <w:r w:rsidR="00E609EA">
              <w:t xml:space="preserve">instead </w:t>
            </w:r>
            <w:r w:rsidR="00133D48">
              <w:t>be made every 12 months. The bill p</w:t>
            </w:r>
            <w:r>
              <w:t>rovides th</w:t>
            </w:r>
            <w:r>
              <w:t>e following:</w:t>
            </w:r>
          </w:p>
          <w:p w14:paraId="530FAB3F" w14:textId="490CE535" w:rsidR="00BF6942" w:rsidRDefault="000A33A3" w:rsidP="0026426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a</w:t>
            </w:r>
            <w:r w:rsidRPr="00B14D01">
              <w:t xml:space="preserve"> local</w:t>
            </w:r>
            <w:r>
              <w:t xml:space="preserve"> workforce development board may</w:t>
            </w:r>
            <w:r w:rsidRPr="00B14D01">
              <w:t xml:space="preserve"> allow a </w:t>
            </w:r>
            <w:r w:rsidR="000033D9">
              <w:t>child-care provider</w:t>
            </w:r>
            <w:r w:rsidRPr="00B14D01">
              <w:t xml:space="preserve"> with whom the board contracts to identify and refer to the board children who could be eligible for subsidized chi</w:t>
            </w:r>
            <w:r w:rsidR="0096323A">
              <w:t>ld</w:t>
            </w:r>
            <w:r w:rsidR="00FB636E">
              <w:t>-</w:t>
            </w:r>
            <w:r w:rsidR="0096323A">
              <w:t>care services</w:t>
            </w:r>
            <w:r>
              <w:t>;</w:t>
            </w:r>
            <w:r w:rsidR="00133D48">
              <w:t xml:space="preserve"> and</w:t>
            </w:r>
          </w:p>
          <w:p w14:paraId="53317C2F" w14:textId="0EC1FF05" w:rsidR="00B14D01" w:rsidRPr="009C36CD" w:rsidRDefault="000A33A3" w:rsidP="0026426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in making such a referral, </w:t>
            </w:r>
            <w:r w:rsidRPr="00B14D01">
              <w:t xml:space="preserve">the </w:t>
            </w:r>
            <w:r w:rsidR="000033D9">
              <w:t>child-care provider</w:t>
            </w:r>
            <w:r>
              <w:t xml:space="preserve"> must </w:t>
            </w:r>
            <w:r w:rsidRPr="00B14D01">
              <w:t>consider whether the child or the child's parent is a member of a group entitled to a priority in the provision of services provided</w:t>
            </w:r>
            <w:r w:rsidR="0096323A">
              <w:t xml:space="preserve"> by or in cooperation with the TWC</w:t>
            </w:r>
            <w:r w:rsidR="000222C4">
              <w:t xml:space="preserve">, including a priority under </w:t>
            </w:r>
            <w:r w:rsidRPr="00B14D01">
              <w:t>Family Code</w:t>
            </w:r>
            <w:r w:rsidR="000222C4">
              <w:t xml:space="preserve"> provisions relating to the transitional living services program</w:t>
            </w:r>
            <w:r w:rsidRPr="00B14D01">
              <w:t>.</w:t>
            </w:r>
            <w:r>
              <w:t xml:space="preserve"> </w:t>
            </w:r>
          </w:p>
          <w:p w14:paraId="2C75FF73" w14:textId="77777777" w:rsidR="008423E4" w:rsidRPr="00835628" w:rsidRDefault="008423E4" w:rsidP="0026426A">
            <w:pPr>
              <w:rPr>
                <w:b/>
              </w:rPr>
            </w:pPr>
          </w:p>
        </w:tc>
      </w:tr>
      <w:tr w:rsidR="00DF0688" w14:paraId="3E614D10" w14:textId="77777777" w:rsidTr="00345119">
        <w:tc>
          <w:tcPr>
            <w:tcW w:w="9576" w:type="dxa"/>
          </w:tcPr>
          <w:p w14:paraId="333DB564" w14:textId="77777777" w:rsidR="008423E4" w:rsidRPr="00A8133F" w:rsidRDefault="000A33A3" w:rsidP="0026426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1648781" w14:textId="77777777" w:rsidR="008423E4" w:rsidRDefault="008423E4" w:rsidP="0026426A"/>
          <w:p w14:paraId="68AF5952" w14:textId="77777777" w:rsidR="008423E4" w:rsidRPr="003624F2" w:rsidRDefault="000A33A3" w:rsidP="002642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A02897D" w14:textId="77777777" w:rsidR="008423E4" w:rsidRPr="00233FDB" w:rsidRDefault="008423E4" w:rsidP="0026426A">
            <w:pPr>
              <w:rPr>
                <w:b/>
              </w:rPr>
            </w:pPr>
          </w:p>
        </w:tc>
      </w:tr>
    </w:tbl>
    <w:p w14:paraId="35D631AF" w14:textId="77777777" w:rsidR="008423E4" w:rsidRPr="00BE0E75" w:rsidRDefault="008423E4" w:rsidP="0026426A">
      <w:pPr>
        <w:jc w:val="both"/>
        <w:rPr>
          <w:rFonts w:ascii="Arial" w:hAnsi="Arial"/>
          <w:sz w:val="16"/>
          <w:szCs w:val="16"/>
        </w:rPr>
      </w:pPr>
    </w:p>
    <w:p w14:paraId="753CDC5D" w14:textId="77777777" w:rsidR="004108C3" w:rsidRPr="008423E4" w:rsidRDefault="004108C3" w:rsidP="0026426A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31281" w14:textId="77777777" w:rsidR="00000000" w:rsidRDefault="000A33A3">
      <w:r>
        <w:separator/>
      </w:r>
    </w:p>
  </w:endnote>
  <w:endnote w:type="continuationSeparator" w:id="0">
    <w:p w14:paraId="7734DD1F" w14:textId="77777777" w:rsidR="00000000" w:rsidRDefault="000A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02C6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F0688" w14:paraId="5D68E8E6" w14:textId="77777777" w:rsidTr="009C1E9A">
      <w:trPr>
        <w:cantSplit/>
      </w:trPr>
      <w:tc>
        <w:tcPr>
          <w:tcW w:w="0" w:type="pct"/>
        </w:tcPr>
        <w:p w14:paraId="1F33083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3CF5BC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4FFEE4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964FA9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1EEB38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F0688" w14:paraId="1E56416F" w14:textId="77777777" w:rsidTr="009C1E9A">
      <w:trPr>
        <w:cantSplit/>
      </w:trPr>
      <w:tc>
        <w:tcPr>
          <w:tcW w:w="0" w:type="pct"/>
        </w:tcPr>
        <w:p w14:paraId="1CBBB0A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773A145" w14:textId="1EAC8460" w:rsidR="00EC379B" w:rsidRPr="009C1E9A" w:rsidRDefault="000A33A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18301</w:t>
          </w:r>
        </w:p>
      </w:tc>
      <w:tc>
        <w:tcPr>
          <w:tcW w:w="2453" w:type="pct"/>
        </w:tcPr>
        <w:p w14:paraId="59FEC847" w14:textId="1DEA0AF2" w:rsidR="00EC379B" w:rsidRDefault="000A33A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B407C">
            <w:t>21.94.66</w:t>
          </w:r>
          <w:r>
            <w:fldChar w:fldCharType="end"/>
          </w:r>
        </w:p>
      </w:tc>
    </w:tr>
    <w:tr w:rsidR="00DF0688" w14:paraId="590EBA45" w14:textId="77777777" w:rsidTr="009C1E9A">
      <w:trPr>
        <w:cantSplit/>
      </w:trPr>
      <w:tc>
        <w:tcPr>
          <w:tcW w:w="0" w:type="pct"/>
        </w:tcPr>
        <w:p w14:paraId="6E18F98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F2A2881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F60C2F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E2553D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F0688" w14:paraId="33EC264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50CCE5F" w14:textId="77958568" w:rsidR="00EC379B" w:rsidRDefault="000A33A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6426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755DC2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586394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1CA6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C2177" w14:textId="77777777" w:rsidR="00000000" w:rsidRDefault="000A33A3">
      <w:r>
        <w:separator/>
      </w:r>
    </w:p>
  </w:footnote>
  <w:footnote w:type="continuationSeparator" w:id="0">
    <w:p w14:paraId="436765FD" w14:textId="77777777" w:rsidR="00000000" w:rsidRDefault="000A3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1860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B6C2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99642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62EEA"/>
    <w:multiLevelType w:val="hybridMultilevel"/>
    <w:tmpl w:val="EFC2734A"/>
    <w:lvl w:ilvl="0" w:tplc="B8F06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7C60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2E5F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B4BA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58E8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5C6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00DD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202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8B3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B34E9"/>
    <w:multiLevelType w:val="hybridMultilevel"/>
    <w:tmpl w:val="221630BC"/>
    <w:lvl w:ilvl="0" w:tplc="B8066C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2201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0287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9651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125B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1C8D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6C4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8A8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A69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528DE"/>
    <w:multiLevelType w:val="hybridMultilevel"/>
    <w:tmpl w:val="EA9E652A"/>
    <w:lvl w:ilvl="0" w:tplc="32648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D85B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03E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86F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DC5E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DE58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368B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60E6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767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21"/>
    <w:rsid w:val="00000A70"/>
    <w:rsid w:val="000032B8"/>
    <w:rsid w:val="000033D9"/>
    <w:rsid w:val="00003663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22C4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33A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6D72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3D48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827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426A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627D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082A"/>
    <w:rsid w:val="00361FE9"/>
    <w:rsid w:val="003624F2"/>
    <w:rsid w:val="00363854"/>
    <w:rsid w:val="00364315"/>
    <w:rsid w:val="003643E2"/>
    <w:rsid w:val="00370155"/>
    <w:rsid w:val="003712D5"/>
    <w:rsid w:val="00372901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29C2"/>
    <w:rsid w:val="00473382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AF0"/>
    <w:rsid w:val="005847EF"/>
    <w:rsid w:val="005851E6"/>
    <w:rsid w:val="005878B7"/>
    <w:rsid w:val="00592C9A"/>
    <w:rsid w:val="00593D6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1CE3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28D0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6C2F"/>
    <w:rsid w:val="006D3005"/>
    <w:rsid w:val="006D504F"/>
    <w:rsid w:val="006E0CAC"/>
    <w:rsid w:val="006E1CFB"/>
    <w:rsid w:val="006E1F94"/>
    <w:rsid w:val="006E26C1"/>
    <w:rsid w:val="006E30A8"/>
    <w:rsid w:val="006E44F0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1CCA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482B"/>
    <w:rsid w:val="007A5466"/>
    <w:rsid w:val="007A7EC1"/>
    <w:rsid w:val="007B2217"/>
    <w:rsid w:val="007B4FCA"/>
    <w:rsid w:val="007B7B85"/>
    <w:rsid w:val="007C462E"/>
    <w:rsid w:val="007C496B"/>
    <w:rsid w:val="007C6803"/>
    <w:rsid w:val="007D2892"/>
    <w:rsid w:val="007D2DCC"/>
    <w:rsid w:val="007D47E1"/>
    <w:rsid w:val="007D68A5"/>
    <w:rsid w:val="007D7FCB"/>
    <w:rsid w:val="007E33B6"/>
    <w:rsid w:val="007E404A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0756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2EAF"/>
    <w:rsid w:val="0086477C"/>
    <w:rsid w:val="00864BAD"/>
    <w:rsid w:val="00866F9D"/>
    <w:rsid w:val="008673D9"/>
    <w:rsid w:val="00871357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9DB"/>
    <w:rsid w:val="00890B59"/>
    <w:rsid w:val="0089305C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1FC6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4ACE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3D42"/>
    <w:rsid w:val="00954A16"/>
    <w:rsid w:val="0095696D"/>
    <w:rsid w:val="0096323A"/>
    <w:rsid w:val="009638B2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5E9E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0FBC"/>
    <w:rsid w:val="009F1B37"/>
    <w:rsid w:val="009F4EB0"/>
    <w:rsid w:val="009F4F2B"/>
    <w:rsid w:val="009F513E"/>
    <w:rsid w:val="009F5802"/>
    <w:rsid w:val="009F64AE"/>
    <w:rsid w:val="009F7321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1E57"/>
    <w:rsid w:val="00AC2E9A"/>
    <w:rsid w:val="00AC5AAB"/>
    <w:rsid w:val="00AC5AEC"/>
    <w:rsid w:val="00AC5F28"/>
    <w:rsid w:val="00AC6900"/>
    <w:rsid w:val="00AD304B"/>
    <w:rsid w:val="00AD3926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19A5"/>
    <w:rsid w:val="00B04E79"/>
    <w:rsid w:val="00B07488"/>
    <w:rsid w:val="00B075A2"/>
    <w:rsid w:val="00B10DD2"/>
    <w:rsid w:val="00B115DC"/>
    <w:rsid w:val="00B11952"/>
    <w:rsid w:val="00B132ED"/>
    <w:rsid w:val="00B14BD2"/>
    <w:rsid w:val="00B14D01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3D20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6942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184F"/>
    <w:rsid w:val="00C41FEF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5B7E"/>
    <w:rsid w:val="00C676AD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0261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2D35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65A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1971"/>
    <w:rsid w:val="00DE34B2"/>
    <w:rsid w:val="00DE49DE"/>
    <w:rsid w:val="00DE618B"/>
    <w:rsid w:val="00DE62EB"/>
    <w:rsid w:val="00DE6EC2"/>
    <w:rsid w:val="00DF0688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26D"/>
    <w:rsid w:val="00E51446"/>
    <w:rsid w:val="00E529C8"/>
    <w:rsid w:val="00E55DA0"/>
    <w:rsid w:val="00E56033"/>
    <w:rsid w:val="00E609EA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77C81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B79A1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65CA"/>
    <w:rsid w:val="00F7758F"/>
    <w:rsid w:val="00F812C0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407C"/>
    <w:rsid w:val="00FB636E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797944-A4D1-4D3A-B072-30AB8503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107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07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075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0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0756"/>
    <w:rPr>
      <w:b/>
      <w:bCs/>
    </w:rPr>
  </w:style>
  <w:style w:type="paragraph" w:styleId="Revision">
    <w:name w:val="Revision"/>
    <w:hidden/>
    <w:uiPriority w:val="99"/>
    <w:semiHidden/>
    <w:rsid w:val="00FB63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3501</Characters>
  <Application>Microsoft Office Word</Application>
  <DocSecurity>4</DocSecurity>
  <Lines>83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HB02607 (Committee Report (Unamended))</vt:lpstr>
    </vt:vector>
  </TitlesOfParts>
  <Company>State of Texas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18301</dc:subject>
  <dc:creator>State of Texas</dc:creator>
  <dc:description>HB 2607 by Talarico-(H)International Relations &amp; Economic Development</dc:description>
  <cp:lastModifiedBy>Lauren Bustamente</cp:lastModifiedBy>
  <cp:revision>2</cp:revision>
  <cp:lastPrinted>2003-11-26T17:21:00Z</cp:lastPrinted>
  <dcterms:created xsi:type="dcterms:W3CDTF">2021-04-07T19:51:00Z</dcterms:created>
  <dcterms:modified xsi:type="dcterms:W3CDTF">2021-04-07T19:51:00Z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21.94.66</vt:lpwstr>
  </property>
</Properties>
</file>