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B0A41" w14:paraId="49E1F7EB" w14:textId="77777777" w:rsidTr="00345119">
        <w:tc>
          <w:tcPr>
            <w:tcW w:w="9576" w:type="dxa"/>
            <w:noWrap/>
          </w:tcPr>
          <w:p w14:paraId="24CC3A36" w14:textId="77777777" w:rsidR="008423E4" w:rsidRPr="0022177D" w:rsidRDefault="00923196" w:rsidP="00AF15E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CF0C517" w14:textId="77777777" w:rsidR="008423E4" w:rsidRPr="0022177D" w:rsidRDefault="008423E4" w:rsidP="00AF15E2">
      <w:pPr>
        <w:jc w:val="center"/>
      </w:pPr>
    </w:p>
    <w:p w14:paraId="3BC5F193" w14:textId="77777777" w:rsidR="008423E4" w:rsidRPr="00B31F0E" w:rsidRDefault="008423E4" w:rsidP="00AF15E2"/>
    <w:p w14:paraId="33D175BC" w14:textId="77777777" w:rsidR="008423E4" w:rsidRPr="00742794" w:rsidRDefault="008423E4" w:rsidP="00AF15E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0A41" w14:paraId="2D6B3E9F" w14:textId="77777777" w:rsidTr="00345119">
        <w:tc>
          <w:tcPr>
            <w:tcW w:w="9576" w:type="dxa"/>
          </w:tcPr>
          <w:p w14:paraId="059E8544" w14:textId="77777777" w:rsidR="008423E4" w:rsidRPr="00861995" w:rsidRDefault="00923196" w:rsidP="00AF15E2">
            <w:pPr>
              <w:jc w:val="right"/>
            </w:pPr>
            <w:r>
              <w:t>H.B. 2609</w:t>
            </w:r>
          </w:p>
        </w:tc>
      </w:tr>
      <w:tr w:rsidR="000B0A41" w14:paraId="7F3E6236" w14:textId="77777777" w:rsidTr="00345119">
        <w:tc>
          <w:tcPr>
            <w:tcW w:w="9576" w:type="dxa"/>
          </w:tcPr>
          <w:p w14:paraId="064E2717" w14:textId="77777777" w:rsidR="008423E4" w:rsidRPr="00861995" w:rsidRDefault="00923196" w:rsidP="00AF15E2">
            <w:pPr>
              <w:jc w:val="right"/>
            </w:pPr>
            <w:r>
              <w:t xml:space="preserve">By: </w:t>
            </w:r>
            <w:r w:rsidR="00E05460">
              <w:t>Parker</w:t>
            </w:r>
          </w:p>
        </w:tc>
      </w:tr>
      <w:tr w:rsidR="000B0A41" w14:paraId="272A3BE6" w14:textId="77777777" w:rsidTr="00345119">
        <w:tc>
          <w:tcPr>
            <w:tcW w:w="9576" w:type="dxa"/>
          </w:tcPr>
          <w:p w14:paraId="174AAF0D" w14:textId="77777777" w:rsidR="008423E4" w:rsidRPr="00861995" w:rsidRDefault="00923196" w:rsidP="00AF15E2">
            <w:pPr>
              <w:jc w:val="right"/>
            </w:pPr>
            <w:r>
              <w:t>Public Health</w:t>
            </w:r>
          </w:p>
        </w:tc>
      </w:tr>
      <w:tr w:rsidR="000B0A41" w14:paraId="702A00FA" w14:textId="77777777" w:rsidTr="00345119">
        <w:tc>
          <w:tcPr>
            <w:tcW w:w="9576" w:type="dxa"/>
          </w:tcPr>
          <w:p w14:paraId="1A48A68C" w14:textId="77777777" w:rsidR="008423E4" w:rsidRDefault="00923196" w:rsidP="00AF15E2">
            <w:pPr>
              <w:jc w:val="right"/>
            </w:pPr>
            <w:r>
              <w:t>Committee Report (Unamended)</w:t>
            </w:r>
          </w:p>
        </w:tc>
      </w:tr>
    </w:tbl>
    <w:p w14:paraId="167478E6" w14:textId="77777777" w:rsidR="008423E4" w:rsidRDefault="008423E4" w:rsidP="00AF15E2">
      <w:pPr>
        <w:tabs>
          <w:tab w:val="right" w:pos="9360"/>
        </w:tabs>
      </w:pPr>
    </w:p>
    <w:p w14:paraId="0D4ECF9F" w14:textId="77777777" w:rsidR="008423E4" w:rsidRDefault="008423E4" w:rsidP="00AF15E2"/>
    <w:p w14:paraId="237FC5DA" w14:textId="77777777" w:rsidR="008423E4" w:rsidRDefault="008423E4" w:rsidP="00AF15E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B0A41" w14:paraId="6FC0ADF9" w14:textId="77777777" w:rsidTr="00345119">
        <w:tc>
          <w:tcPr>
            <w:tcW w:w="9576" w:type="dxa"/>
          </w:tcPr>
          <w:p w14:paraId="77D613C9" w14:textId="77777777" w:rsidR="008423E4" w:rsidRPr="00A8133F" w:rsidRDefault="00923196" w:rsidP="00AF15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AC1ECD2" w14:textId="77777777" w:rsidR="008423E4" w:rsidRDefault="008423E4" w:rsidP="00AF15E2"/>
          <w:p w14:paraId="7DAD28E3" w14:textId="4D4D2620" w:rsidR="005D23C2" w:rsidRDefault="00923196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95C2F">
              <w:t xml:space="preserve">Under the Advance Directives Act, patients </w:t>
            </w:r>
            <w:r w:rsidR="001075B9">
              <w:t>have the right to express in</w:t>
            </w:r>
            <w:r w:rsidRPr="00B95C2F">
              <w:t xml:space="preserve"> writing whether they want life-sustaining treatment if they become unable to make medical decisions for themselves. Many patients </w:t>
            </w:r>
            <w:r>
              <w:t>may be</w:t>
            </w:r>
            <w:r w:rsidRPr="00B95C2F">
              <w:t xml:space="preserve"> surprised to learn that the same </w:t>
            </w:r>
            <w:r>
              <w:t>law</w:t>
            </w:r>
            <w:r w:rsidRPr="00B95C2F">
              <w:t xml:space="preserve"> that gives them the right to </w:t>
            </w:r>
            <w:r w:rsidR="001075B9">
              <w:t>document</w:t>
            </w:r>
            <w:r w:rsidRPr="00B95C2F">
              <w:t xml:space="preserve"> their desire for life-sustaining treatment </w:t>
            </w:r>
            <w:r w:rsidRPr="00B95C2F">
              <w:t xml:space="preserve">also gives a health care provider the right to withdraw that treatment, overriding their written directives and the objections of their family. </w:t>
            </w:r>
            <w:r w:rsidR="001075B9">
              <w:t>In case of such a decision</w:t>
            </w:r>
            <w:r w:rsidR="00346BCF">
              <w:t xml:space="preserve"> by the provider</w:t>
            </w:r>
            <w:r w:rsidR="001075B9">
              <w:t xml:space="preserve">, </w:t>
            </w:r>
            <w:r w:rsidR="00346BCF">
              <w:t>a family</w:t>
            </w:r>
            <w:r w:rsidRPr="00B95C2F">
              <w:t xml:space="preserve"> </w:t>
            </w:r>
            <w:r w:rsidR="00346BCF">
              <w:t>has only</w:t>
            </w:r>
            <w:r w:rsidRPr="00B95C2F">
              <w:t xml:space="preserve"> </w:t>
            </w:r>
            <w:r>
              <w:t>a</w:t>
            </w:r>
            <w:r w:rsidRPr="00B95C2F">
              <w:t xml:space="preserve"> </w:t>
            </w:r>
            <w:r w:rsidR="004038D8">
              <w:t>10</w:t>
            </w:r>
            <w:r w:rsidRPr="00B95C2F">
              <w:t>-day window to transfer their loved one to a d</w:t>
            </w:r>
            <w:r w:rsidRPr="00B95C2F">
              <w:t xml:space="preserve">ifferent facility before basic life-sustaining measures are discontinued. If the family cannot find another facility in </w:t>
            </w:r>
            <w:r w:rsidR="004038D8">
              <w:t>10</w:t>
            </w:r>
            <w:r w:rsidR="004038D8" w:rsidRPr="00B95C2F">
              <w:t xml:space="preserve"> </w:t>
            </w:r>
            <w:r w:rsidRPr="00B95C2F">
              <w:t>days the doctor can remove the treatment</w:t>
            </w:r>
            <w:r w:rsidR="00346BCF">
              <w:t>,</w:t>
            </w:r>
            <w:r w:rsidRPr="00B95C2F">
              <w:t xml:space="preserve"> hastening the </w:t>
            </w:r>
            <w:r w:rsidR="004038D8" w:rsidRPr="00B95C2F">
              <w:t>patient</w:t>
            </w:r>
            <w:r w:rsidR="004038D8">
              <w:t>'</w:t>
            </w:r>
            <w:r w:rsidR="004038D8" w:rsidRPr="00B95C2F">
              <w:t xml:space="preserve">s </w:t>
            </w:r>
            <w:r w:rsidRPr="00B95C2F">
              <w:t>death.</w:t>
            </w:r>
            <w:r>
              <w:t xml:space="preserve"> H.B. 2609 seeks to protect a patient's right to life by requ</w:t>
            </w:r>
            <w:r>
              <w:t>iring that when a physician refuses to honor a patient</w:t>
            </w:r>
            <w:r w:rsidR="00346BCF">
              <w:t>'s</w:t>
            </w:r>
            <w:r>
              <w:t xml:space="preserve"> or surrogate's medical directives, the physician must continue to provide treatment until a facility that will provide the treatment is located and the patient is transferred. </w:t>
            </w:r>
          </w:p>
          <w:p w14:paraId="210C4BB2" w14:textId="77777777" w:rsidR="008423E4" w:rsidRPr="00E26B13" w:rsidRDefault="008423E4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B0A41" w14:paraId="151D78D0" w14:textId="77777777" w:rsidTr="00345119">
        <w:tc>
          <w:tcPr>
            <w:tcW w:w="9576" w:type="dxa"/>
          </w:tcPr>
          <w:p w14:paraId="4DDF2025" w14:textId="77777777" w:rsidR="0017725B" w:rsidRDefault="00923196" w:rsidP="00AF15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14:paraId="03E0FA7F" w14:textId="77777777" w:rsidR="0017725B" w:rsidRDefault="0017725B" w:rsidP="00AF15E2">
            <w:pPr>
              <w:rPr>
                <w:b/>
                <w:u w:val="single"/>
              </w:rPr>
            </w:pPr>
          </w:p>
          <w:p w14:paraId="68F67F73" w14:textId="77777777" w:rsidR="0022256F" w:rsidRPr="0022256F" w:rsidRDefault="00923196" w:rsidP="00AF15E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14:paraId="53844A26" w14:textId="77777777" w:rsidR="0017725B" w:rsidRPr="0017725B" w:rsidRDefault="0017725B" w:rsidP="00AF15E2">
            <w:pPr>
              <w:rPr>
                <w:b/>
                <w:u w:val="single"/>
              </w:rPr>
            </w:pPr>
          </w:p>
        </w:tc>
      </w:tr>
      <w:tr w:rsidR="000B0A41" w14:paraId="14CA93D2" w14:textId="77777777" w:rsidTr="00345119">
        <w:tc>
          <w:tcPr>
            <w:tcW w:w="9576" w:type="dxa"/>
          </w:tcPr>
          <w:p w14:paraId="26B07158" w14:textId="77777777" w:rsidR="008423E4" w:rsidRPr="00A8133F" w:rsidRDefault="00923196" w:rsidP="00AF15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9F91622" w14:textId="77777777" w:rsidR="008423E4" w:rsidRDefault="008423E4" w:rsidP="00AF15E2"/>
          <w:p w14:paraId="43D2F609" w14:textId="77777777" w:rsidR="0022256F" w:rsidRDefault="00923196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F358F63" w14:textId="77777777" w:rsidR="008423E4" w:rsidRPr="00E21FDC" w:rsidRDefault="008423E4" w:rsidP="00AF15E2">
            <w:pPr>
              <w:rPr>
                <w:b/>
              </w:rPr>
            </w:pPr>
          </w:p>
        </w:tc>
      </w:tr>
      <w:tr w:rsidR="000B0A41" w14:paraId="195C642F" w14:textId="77777777" w:rsidTr="00345119">
        <w:tc>
          <w:tcPr>
            <w:tcW w:w="9576" w:type="dxa"/>
          </w:tcPr>
          <w:p w14:paraId="3A95A460" w14:textId="77777777" w:rsidR="008423E4" w:rsidRPr="00A8133F" w:rsidRDefault="00923196" w:rsidP="00AF15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9CFBC7C" w14:textId="77777777" w:rsidR="008423E4" w:rsidRDefault="008423E4" w:rsidP="00AF15E2"/>
          <w:p w14:paraId="14700FD7" w14:textId="2F5214C4" w:rsidR="008A2B6D" w:rsidRDefault="00923196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2609 amends the Health and </w:t>
            </w:r>
            <w:r>
              <w:t>Safety Code to</w:t>
            </w:r>
            <w:r w:rsidR="00777E47">
              <w:t xml:space="preserve"> </w:t>
            </w:r>
            <w:r>
              <w:t>require</w:t>
            </w:r>
            <w:r w:rsidR="00777E47">
              <w:t xml:space="preserve"> that</w:t>
            </w:r>
            <w:r>
              <w:t>, if</w:t>
            </w:r>
            <w:r w:rsidR="00777E47">
              <w:t xml:space="preserve"> a patient</w:t>
            </w:r>
            <w:r>
              <w:t>'s</w:t>
            </w:r>
            <w:r w:rsidR="00777E47">
              <w:t xml:space="preserve"> attending </w:t>
            </w:r>
            <w:r w:rsidR="00745E0C">
              <w:t xml:space="preserve">physician </w:t>
            </w:r>
            <w:r w:rsidR="00777E47" w:rsidRPr="00777E47">
              <w:t>refuses to honor a patient's advance directive or a health care or treatment decision made by or on behalf of a patient</w:t>
            </w:r>
            <w:r>
              <w:t xml:space="preserve">, other than a </w:t>
            </w:r>
            <w:r w:rsidRPr="008A2B6D">
              <w:t xml:space="preserve">directive or decision to provide artificial nutrition and </w:t>
            </w:r>
            <w:r w:rsidRPr="008A2B6D">
              <w:t>hydration to the patient</w:t>
            </w:r>
            <w:r>
              <w:t>, the patient</w:t>
            </w:r>
            <w:r w:rsidR="00777E47">
              <w:t xml:space="preserve"> must be </w:t>
            </w:r>
            <w:r w:rsidR="00777E47" w:rsidRPr="00777E47">
              <w:t xml:space="preserve">given life-sustaining treatment during the </w:t>
            </w:r>
            <w:r>
              <w:t xml:space="preserve">required </w:t>
            </w:r>
            <w:r w:rsidR="00777E47" w:rsidRPr="00777E47">
              <w:t xml:space="preserve">review </w:t>
            </w:r>
            <w:r>
              <w:t xml:space="preserve">by an ethics or medical committee </w:t>
            </w:r>
            <w:r w:rsidR="00777E47" w:rsidRPr="00777E47">
              <w:t>and until the patient is transferred to another physician or health care facility willing to comply with the directive or treatment decision to pr</w:t>
            </w:r>
            <w:r>
              <w:t>ovide life</w:t>
            </w:r>
            <w:r w:rsidR="00E32B5E">
              <w:noBreakHyphen/>
            </w:r>
            <w:r>
              <w:t>sustaining treatment</w:t>
            </w:r>
            <w:r w:rsidR="00777E47" w:rsidRPr="00777E47">
              <w:t>.</w:t>
            </w:r>
            <w:r w:rsidR="00777E47">
              <w:t xml:space="preserve"> </w:t>
            </w:r>
            <w:r>
              <w:t xml:space="preserve">The bill replaces certain references to a decision made by the </w:t>
            </w:r>
            <w:r w:rsidR="00887581">
              <w:t>ethics or medical</w:t>
            </w:r>
            <w:r>
              <w:t xml:space="preserve"> committee with references to recommendations made by the committee.</w:t>
            </w:r>
          </w:p>
          <w:p w14:paraId="46FD56A0" w14:textId="0E550990" w:rsidR="007B602A" w:rsidRDefault="007B602A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5C9195" w14:textId="49E0CCA1" w:rsidR="007B602A" w:rsidRDefault="00923196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2609 removes provisions making the pati</w:t>
            </w:r>
            <w:r>
              <w:t xml:space="preserve">ent </w:t>
            </w:r>
            <w:r w:rsidRPr="007B602A">
              <w:t>responsible for any costs incurred in transferring the patient to another facility</w:t>
            </w:r>
            <w:r>
              <w:t xml:space="preserve"> and establishing that t</w:t>
            </w:r>
            <w:r w:rsidRPr="007B602A">
              <w:t>he attending physician, any other physician responsible for the care of the patient, and the health care facility are not obligated to provide lif</w:t>
            </w:r>
            <w:r w:rsidRPr="007B602A">
              <w:t xml:space="preserve">e-sustaining treatment after the 10th day after </w:t>
            </w:r>
            <w:r w:rsidR="00786574">
              <w:t>the</w:t>
            </w:r>
            <w:r>
              <w:t xml:space="preserve"> written decision of the </w:t>
            </w:r>
            <w:r w:rsidR="00786574">
              <w:t>ethics or medical review</w:t>
            </w:r>
            <w:r>
              <w:t xml:space="preserve"> committee and the patient's </w:t>
            </w:r>
            <w:r w:rsidR="00786574">
              <w:t>medical</w:t>
            </w:r>
            <w:r w:rsidRPr="007B602A">
              <w:t xml:space="preserve"> </w:t>
            </w:r>
            <w:r w:rsidR="00786574">
              <w:t xml:space="preserve">record </w:t>
            </w:r>
            <w:r w:rsidRPr="007B602A">
              <w:t xml:space="preserve">are provided to the patient or </w:t>
            </w:r>
            <w:r w:rsidR="00786574">
              <w:t xml:space="preserve">to </w:t>
            </w:r>
            <w:r w:rsidRPr="007B602A">
              <w:t>the person responsible for the health care decisions of the patient</w:t>
            </w:r>
            <w:r w:rsidR="00786574">
              <w:t>,</w:t>
            </w:r>
            <w:r w:rsidRPr="007B602A">
              <w:t xml:space="preserve"> unless </w:t>
            </w:r>
            <w:r w:rsidR="00786574">
              <w:t>the 10-day period is extended by a district or county court.</w:t>
            </w:r>
          </w:p>
          <w:p w14:paraId="22F7625B" w14:textId="77777777" w:rsidR="008A2B6D" w:rsidRDefault="008A2B6D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17EB112" w14:textId="39868C14" w:rsidR="003D5471" w:rsidRDefault="00923196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2609</w:t>
            </w:r>
            <w:r w:rsidR="00783EEC">
              <w:t xml:space="preserve"> removes a requirement that the </w:t>
            </w:r>
            <w:r w:rsidR="00783EEC" w:rsidRPr="00783EEC">
              <w:t xml:space="preserve">patient or the </w:t>
            </w:r>
            <w:r w:rsidRPr="00783EEC">
              <w:t xml:space="preserve">responsible </w:t>
            </w:r>
            <w:r w:rsidR="00783EEC" w:rsidRPr="00783EEC">
              <w:t>person who has made the decision regarding the</w:t>
            </w:r>
            <w:r w:rsidR="0022256F">
              <w:t xml:space="preserve"> directive or treatment </w:t>
            </w:r>
            <w:r w:rsidR="00783EEC">
              <w:t>be provided</w:t>
            </w:r>
            <w:r>
              <w:t>, in connection with the committee's review,</w:t>
            </w:r>
            <w:r w:rsidR="00783EEC">
              <w:t xml:space="preserve"> a copy of a </w:t>
            </w:r>
            <w:r>
              <w:t xml:space="preserve">certain </w:t>
            </w:r>
            <w:r w:rsidR="00783EEC">
              <w:t>statement explaining the patient's right to transfer to another physician or facility</w:t>
            </w:r>
            <w:r>
              <w:t xml:space="preserve"> and</w:t>
            </w:r>
            <w:r w:rsidR="0022256F">
              <w:t xml:space="preserve"> repeals provision</w:t>
            </w:r>
            <w:r w:rsidR="00887581">
              <w:t>s</w:t>
            </w:r>
            <w:r w:rsidR="0022256F">
              <w:t xml:space="preserve"> setting out the form and content of the notice.</w:t>
            </w:r>
            <w:r w:rsidR="007B6096" w:rsidRPr="007B6096">
              <w:t xml:space="preserve"> </w:t>
            </w:r>
            <w:r w:rsidR="00FB5C78">
              <w:t xml:space="preserve">The bill establishes the purposes of its provisions. </w:t>
            </w:r>
            <w:r w:rsidR="00001268">
              <w:t>The bill amends the Government Code to make a conforming change.</w:t>
            </w:r>
          </w:p>
          <w:p w14:paraId="045BD915" w14:textId="77777777" w:rsidR="0022256F" w:rsidRDefault="0022256F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A3B06D" w14:textId="77777777" w:rsidR="0022256F" w:rsidRDefault="00923196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2609 repeals the following provisions of the Health and Safety Code:</w:t>
            </w:r>
          </w:p>
          <w:p w14:paraId="6CB42F78" w14:textId="77777777" w:rsidR="0022256F" w:rsidRDefault="00923196" w:rsidP="00AF15E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</w:t>
            </w:r>
            <w:r w:rsidRPr="0022256F">
              <w:t xml:space="preserve"> 166.046(g)</w:t>
            </w:r>
            <w:r>
              <w:t>;</w:t>
            </w:r>
            <w:r w:rsidRPr="0022256F">
              <w:t xml:space="preserve"> and</w:t>
            </w:r>
          </w:p>
          <w:p w14:paraId="578E01AF" w14:textId="77777777" w:rsidR="0022256F" w:rsidRPr="009C36CD" w:rsidRDefault="00923196" w:rsidP="00AF15E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166.052.</w:t>
            </w:r>
          </w:p>
          <w:p w14:paraId="7DE37069" w14:textId="77777777" w:rsidR="008423E4" w:rsidRPr="00835628" w:rsidRDefault="008423E4" w:rsidP="00AF15E2">
            <w:pPr>
              <w:rPr>
                <w:b/>
              </w:rPr>
            </w:pPr>
          </w:p>
        </w:tc>
      </w:tr>
      <w:tr w:rsidR="000B0A41" w14:paraId="2EB2D156" w14:textId="77777777" w:rsidTr="00345119">
        <w:tc>
          <w:tcPr>
            <w:tcW w:w="9576" w:type="dxa"/>
          </w:tcPr>
          <w:p w14:paraId="087C1241" w14:textId="77777777" w:rsidR="008423E4" w:rsidRPr="00A8133F" w:rsidRDefault="00923196" w:rsidP="00AF15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AD4FD6A" w14:textId="77777777" w:rsidR="008423E4" w:rsidRDefault="008423E4" w:rsidP="00AF15E2"/>
          <w:p w14:paraId="780A8F04" w14:textId="77777777" w:rsidR="008423E4" w:rsidRPr="003624F2" w:rsidRDefault="00923196" w:rsidP="00AF1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</w:t>
            </w:r>
            <w:r>
              <w:t>.</w:t>
            </w:r>
          </w:p>
          <w:p w14:paraId="481D7F8B" w14:textId="77777777" w:rsidR="008423E4" w:rsidRPr="00233FDB" w:rsidRDefault="008423E4" w:rsidP="00AF15E2">
            <w:pPr>
              <w:rPr>
                <w:b/>
              </w:rPr>
            </w:pPr>
          </w:p>
        </w:tc>
      </w:tr>
    </w:tbl>
    <w:p w14:paraId="1D15A1EB" w14:textId="77777777" w:rsidR="008423E4" w:rsidRPr="00BE0E75" w:rsidRDefault="008423E4" w:rsidP="00AF15E2">
      <w:pPr>
        <w:jc w:val="both"/>
        <w:rPr>
          <w:rFonts w:ascii="Arial" w:hAnsi="Arial"/>
          <w:sz w:val="16"/>
          <w:szCs w:val="16"/>
        </w:rPr>
      </w:pPr>
    </w:p>
    <w:p w14:paraId="61F16765" w14:textId="77777777" w:rsidR="004108C3" w:rsidRPr="008423E4" w:rsidRDefault="004108C3" w:rsidP="00AF15E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0432E" w14:textId="77777777" w:rsidR="00000000" w:rsidRDefault="00923196">
      <w:r>
        <w:separator/>
      </w:r>
    </w:p>
  </w:endnote>
  <w:endnote w:type="continuationSeparator" w:id="0">
    <w:p w14:paraId="0A7BE2C0" w14:textId="77777777" w:rsidR="00000000" w:rsidRDefault="0092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FAD2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0A41" w14:paraId="24892AEF" w14:textId="77777777" w:rsidTr="009C1E9A">
      <w:trPr>
        <w:cantSplit/>
      </w:trPr>
      <w:tc>
        <w:tcPr>
          <w:tcW w:w="0" w:type="pct"/>
        </w:tcPr>
        <w:p w14:paraId="60EAC7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EE66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D05CF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98C83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E8FFA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0A41" w14:paraId="73DFBE62" w14:textId="77777777" w:rsidTr="009C1E9A">
      <w:trPr>
        <w:cantSplit/>
      </w:trPr>
      <w:tc>
        <w:tcPr>
          <w:tcW w:w="0" w:type="pct"/>
        </w:tcPr>
        <w:p w14:paraId="3D40DC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4BA3E1" w14:textId="77777777" w:rsidR="00EC379B" w:rsidRPr="009C1E9A" w:rsidRDefault="009231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23626</w:t>
          </w:r>
        </w:p>
      </w:tc>
      <w:tc>
        <w:tcPr>
          <w:tcW w:w="2453" w:type="pct"/>
        </w:tcPr>
        <w:p w14:paraId="7CDAE067" w14:textId="7AF37818" w:rsidR="00EC379B" w:rsidRDefault="009231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33267">
            <w:t>21.122.19</w:t>
          </w:r>
          <w:r>
            <w:fldChar w:fldCharType="end"/>
          </w:r>
        </w:p>
      </w:tc>
    </w:tr>
    <w:tr w:rsidR="000B0A41" w14:paraId="7B26FA5E" w14:textId="77777777" w:rsidTr="009C1E9A">
      <w:trPr>
        <w:cantSplit/>
      </w:trPr>
      <w:tc>
        <w:tcPr>
          <w:tcW w:w="0" w:type="pct"/>
        </w:tcPr>
        <w:p w14:paraId="6997B64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37B0C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F86BCD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F0703B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0A41" w14:paraId="688510F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5FD579" w14:textId="71D1C2CB" w:rsidR="00EC379B" w:rsidRDefault="009231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F15E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48D370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E88C4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390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E3B3" w14:textId="77777777" w:rsidR="00000000" w:rsidRDefault="00923196">
      <w:r>
        <w:separator/>
      </w:r>
    </w:p>
  </w:footnote>
  <w:footnote w:type="continuationSeparator" w:id="0">
    <w:p w14:paraId="58180DE7" w14:textId="77777777" w:rsidR="00000000" w:rsidRDefault="0092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40A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BCC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F70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924"/>
    <w:multiLevelType w:val="hybridMultilevel"/>
    <w:tmpl w:val="623067EE"/>
    <w:lvl w:ilvl="0" w:tplc="197C0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C1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22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2F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00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08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8B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A9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08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5BD5"/>
    <w:multiLevelType w:val="hybridMultilevel"/>
    <w:tmpl w:val="8F564274"/>
    <w:lvl w:ilvl="0" w:tplc="7D360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472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02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41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E2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CE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E3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87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AE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0"/>
    <w:rsid w:val="00000A70"/>
    <w:rsid w:val="00001268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A41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75B9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56F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4C1F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BCF"/>
    <w:rsid w:val="00347B4A"/>
    <w:rsid w:val="003500C3"/>
    <w:rsid w:val="003523BD"/>
    <w:rsid w:val="00352681"/>
    <w:rsid w:val="003536AA"/>
    <w:rsid w:val="003544CE"/>
    <w:rsid w:val="003549E3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365D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5471"/>
    <w:rsid w:val="003D726D"/>
    <w:rsid w:val="003E0875"/>
    <w:rsid w:val="003E0BB8"/>
    <w:rsid w:val="003E6CB0"/>
    <w:rsid w:val="003F1F5E"/>
    <w:rsid w:val="003F286A"/>
    <w:rsid w:val="003F77F8"/>
    <w:rsid w:val="00400ACD"/>
    <w:rsid w:val="004038D8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A0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3C2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AB0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E0C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77E47"/>
    <w:rsid w:val="00780FB6"/>
    <w:rsid w:val="00783EEC"/>
    <w:rsid w:val="0078552A"/>
    <w:rsid w:val="00785729"/>
    <w:rsid w:val="00786058"/>
    <w:rsid w:val="00786574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02A"/>
    <w:rsid w:val="007B6096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3267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7581"/>
    <w:rsid w:val="00890B59"/>
    <w:rsid w:val="008930D7"/>
    <w:rsid w:val="008947A7"/>
    <w:rsid w:val="00897E80"/>
    <w:rsid w:val="008A04FA"/>
    <w:rsid w:val="008A2B6D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196"/>
    <w:rsid w:val="00924EA9"/>
    <w:rsid w:val="00925CE1"/>
    <w:rsid w:val="00925F5C"/>
    <w:rsid w:val="00930897"/>
    <w:rsid w:val="009320D2"/>
    <w:rsid w:val="00932C77"/>
    <w:rsid w:val="0093417F"/>
    <w:rsid w:val="00934AC2"/>
    <w:rsid w:val="0093634C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15E2"/>
    <w:rsid w:val="00AF448E"/>
    <w:rsid w:val="00AF48B4"/>
    <w:rsid w:val="00AF4923"/>
    <w:rsid w:val="00AF7C74"/>
    <w:rsid w:val="00B000AF"/>
    <w:rsid w:val="00B04E79"/>
    <w:rsid w:val="00B0532B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4438"/>
    <w:rsid w:val="00B95BC8"/>
    <w:rsid w:val="00B95C2F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883"/>
    <w:rsid w:val="00C35CC5"/>
    <w:rsid w:val="00C361C5"/>
    <w:rsid w:val="00C377D1"/>
    <w:rsid w:val="00C37BDA"/>
    <w:rsid w:val="00C37C84"/>
    <w:rsid w:val="00C42B41"/>
    <w:rsid w:val="00C4615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2CA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46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B5E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5FB4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CBE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30A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422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C78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90E5A2-F4FD-4730-AEC9-86E70E0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25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2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5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256F"/>
    <w:rPr>
      <w:b/>
      <w:bCs/>
    </w:rPr>
  </w:style>
  <w:style w:type="paragraph" w:styleId="Revision">
    <w:name w:val="Revision"/>
    <w:hidden/>
    <w:uiPriority w:val="99"/>
    <w:semiHidden/>
    <w:rsid w:val="00E32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3152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HB02609 (Committee Report (Unamended))</vt:lpstr>
    </vt:vector>
  </TitlesOfParts>
  <Company>State of Texas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23626</dc:subject>
  <dc:creator>State of Texas</dc:creator>
  <dc:description>HB 2609 by Parker-(H)Public Health</dc:description>
  <cp:lastModifiedBy>Lauren Bustamante</cp:lastModifiedBy>
  <cp:revision>2</cp:revision>
  <cp:lastPrinted>2003-11-26T17:21:00Z</cp:lastPrinted>
  <dcterms:created xsi:type="dcterms:W3CDTF">2021-05-12T00:29:00Z</dcterms:created>
  <dcterms:modified xsi:type="dcterms:W3CDTF">2021-05-12T00:29:00Z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21.122.19</vt:lpwstr>
  </property>
</Properties>
</file>