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C461B" w14:paraId="79A1C1F5" w14:textId="77777777" w:rsidTr="00345119">
        <w:tc>
          <w:tcPr>
            <w:tcW w:w="9576" w:type="dxa"/>
            <w:noWrap/>
          </w:tcPr>
          <w:p w14:paraId="1B5A7E08" w14:textId="77777777" w:rsidR="008423E4" w:rsidRPr="0022177D" w:rsidRDefault="00374182" w:rsidP="00FA568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D9AD807" w14:textId="77777777" w:rsidR="008423E4" w:rsidRPr="0022177D" w:rsidRDefault="008423E4" w:rsidP="00FA5682">
      <w:pPr>
        <w:jc w:val="center"/>
      </w:pPr>
    </w:p>
    <w:p w14:paraId="485E607B" w14:textId="77777777" w:rsidR="008423E4" w:rsidRPr="00B31F0E" w:rsidRDefault="008423E4" w:rsidP="00FA5682"/>
    <w:p w14:paraId="67A823A6" w14:textId="77777777" w:rsidR="008423E4" w:rsidRPr="00742794" w:rsidRDefault="008423E4" w:rsidP="00FA568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461B" w14:paraId="38E06931" w14:textId="77777777" w:rsidTr="00345119">
        <w:tc>
          <w:tcPr>
            <w:tcW w:w="9576" w:type="dxa"/>
          </w:tcPr>
          <w:p w14:paraId="386C96C2" w14:textId="506C6770" w:rsidR="008423E4" w:rsidRPr="00861995" w:rsidRDefault="00374182" w:rsidP="00FA5682">
            <w:pPr>
              <w:jc w:val="right"/>
            </w:pPr>
            <w:r>
              <w:t>C.S.H.B. 2667</w:t>
            </w:r>
          </w:p>
        </w:tc>
      </w:tr>
      <w:tr w:rsidR="006C461B" w14:paraId="1DD49F1D" w14:textId="77777777" w:rsidTr="00345119">
        <w:tc>
          <w:tcPr>
            <w:tcW w:w="9576" w:type="dxa"/>
          </w:tcPr>
          <w:p w14:paraId="1430590A" w14:textId="613B323D" w:rsidR="008423E4" w:rsidRPr="00861995" w:rsidRDefault="00374182" w:rsidP="00567BE6">
            <w:pPr>
              <w:jc w:val="right"/>
            </w:pPr>
            <w:r>
              <w:t xml:space="preserve">By: </w:t>
            </w:r>
            <w:r w:rsidR="00567BE6">
              <w:t>Smithee</w:t>
            </w:r>
          </w:p>
        </w:tc>
      </w:tr>
      <w:tr w:rsidR="006C461B" w14:paraId="0185134C" w14:textId="77777777" w:rsidTr="00345119">
        <w:tc>
          <w:tcPr>
            <w:tcW w:w="9576" w:type="dxa"/>
          </w:tcPr>
          <w:p w14:paraId="00E8E425" w14:textId="6432F26C" w:rsidR="008423E4" w:rsidRPr="00861995" w:rsidRDefault="00374182" w:rsidP="00FA5682">
            <w:pPr>
              <w:jc w:val="right"/>
            </w:pPr>
            <w:r>
              <w:t>State Affairs</w:t>
            </w:r>
          </w:p>
        </w:tc>
      </w:tr>
      <w:tr w:rsidR="006C461B" w14:paraId="21FD0357" w14:textId="77777777" w:rsidTr="00345119">
        <w:tc>
          <w:tcPr>
            <w:tcW w:w="9576" w:type="dxa"/>
          </w:tcPr>
          <w:p w14:paraId="6941F265" w14:textId="4769D690" w:rsidR="008423E4" w:rsidRDefault="00374182" w:rsidP="00FA5682">
            <w:pPr>
              <w:jc w:val="right"/>
            </w:pPr>
            <w:r>
              <w:t>Committee Report (Substituted)</w:t>
            </w:r>
          </w:p>
        </w:tc>
      </w:tr>
    </w:tbl>
    <w:p w14:paraId="0275E864" w14:textId="77777777" w:rsidR="008423E4" w:rsidRDefault="008423E4" w:rsidP="00FA5682">
      <w:pPr>
        <w:tabs>
          <w:tab w:val="right" w:pos="9360"/>
        </w:tabs>
      </w:pPr>
    </w:p>
    <w:p w14:paraId="0060F842" w14:textId="77777777" w:rsidR="008423E4" w:rsidRDefault="008423E4" w:rsidP="00FA5682"/>
    <w:p w14:paraId="2320AABC" w14:textId="77777777" w:rsidR="008423E4" w:rsidRDefault="008423E4" w:rsidP="00FA568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C461B" w14:paraId="55B6FEC1" w14:textId="77777777" w:rsidTr="00EA40C4">
        <w:tc>
          <w:tcPr>
            <w:tcW w:w="9360" w:type="dxa"/>
          </w:tcPr>
          <w:p w14:paraId="3742C5F5" w14:textId="77777777" w:rsidR="008423E4" w:rsidRPr="00A8133F" w:rsidRDefault="00374182" w:rsidP="009A5C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7B12584" w14:textId="77777777" w:rsidR="008423E4" w:rsidRDefault="008423E4" w:rsidP="009A5CA6"/>
          <w:p w14:paraId="01F906CF" w14:textId="23ACDA87" w:rsidR="008423E4" w:rsidRDefault="00374182" w:rsidP="009A5C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87FA1">
              <w:t xml:space="preserve">The </w:t>
            </w:r>
            <w:r w:rsidR="00615A9F">
              <w:t xml:space="preserve">Texas </w:t>
            </w:r>
            <w:r w:rsidR="00264EA1">
              <w:t>u</w:t>
            </w:r>
            <w:r w:rsidRPr="00E87FA1">
              <w:t xml:space="preserve">niversal </w:t>
            </w:r>
            <w:r w:rsidR="00264EA1">
              <w:t>s</w:t>
            </w:r>
            <w:r w:rsidRPr="00E87FA1">
              <w:t xml:space="preserve">ervice </w:t>
            </w:r>
            <w:r w:rsidR="00264EA1">
              <w:t>f</w:t>
            </w:r>
            <w:r w:rsidRPr="00E87FA1">
              <w:t>und</w:t>
            </w:r>
            <w:r w:rsidR="007356F5">
              <w:t xml:space="preserve"> (TUSF)</w:t>
            </w:r>
            <w:r w:rsidR="00B57040">
              <w:t>,</w:t>
            </w:r>
            <w:r w:rsidRPr="00E87FA1">
              <w:t xml:space="preserve"> </w:t>
            </w:r>
            <w:r w:rsidR="007356F5">
              <w:t>operated by the Public Utility Commission of Texas (PUC)</w:t>
            </w:r>
            <w:r w:rsidR="00B57040">
              <w:t>,</w:t>
            </w:r>
            <w:r w:rsidR="007356F5">
              <w:t xml:space="preserve"> </w:t>
            </w:r>
            <w:r w:rsidR="00C22F1D">
              <w:t xml:space="preserve">supports </w:t>
            </w:r>
            <w:r w:rsidR="007356F5">
              <w:t>costs associated with providing telecommunication services to high</w:t>
            </w:r>
            <w:r w:rsidR="00264EA1">
              <w:t xml:space="preserve"> </w:t>
            </w:r>
            <w:r w:rsidR="007356F5">
              <w:t>cost and rural areas</w:t>
            </w:r>
            <w:r w:rsidRPr="00E87FA1">
              <w:t xml:space="preserve">. </w:t>
            </w:r>
            <w:r w:rsidR="007356F5">
              <w:t xml:space="preserve">The TUSF </w:t>
            </w:r>
            <w:r w:rsidR="00C22F1D">
              <w:t>is</w:t>
            </w:r>
            <w:r w:rsidR="007356F5">
              <w:t xml:space="preserve"> </w:t>
            </w:r>
            <w:r w:rsidR="00C22F1D">
              <w:t xml:space="preserve">currently </w:t>
            </w:r>
            <w:r w:rsidR="007356F5">
              <w:t>underfunded and does not pay out the full obligation due to</w:t>
            </w:r>
            <w:r w:rsidRPr="00E87FA1">
              <w:t xml:space="preserve"> high cost providers. </w:t>
            </w:r>
            <w:r w:rsidR="007356F5">
              <w:t xml:space="preserve">Despite </w:t>
            </w:r>
            <w:r w:rsidR="00C55977">
              <w:t>funding shortages</w:t>
            </w:r>
            <w:r w:rsidR="007356F5">
              <w:t>, t</w:t>
            </w:r>
            <w:r w:rsidRPr="00E87FA1">
              <w:t xml:space="preserve">he PUC has </w:t>
            </w:r>
            <w:r w:rsidR="007356F5">
              <w:t>resisted calls to subject</w:t>
            </w:r>
            <w:r w:rsidRPr="00E87FA1">
              <w:t xml:space="preserve"> </w:t>
            </w:r>
            <w:r w:rsidR="007356F5">
              <w:t>providers of newer telecommunications technologies, such as</w:t>
            </w:r>
            <w:r w:rsidRPr="00E87FA1">
              <w:t xml:space="preserve"> </w:t>
            </w:r>
            <w:r w:rsidR="007356F5">
              <w:t>V</w:t>
            </w:r>
            <w:r w:rsidRPr="00E87FA1">
              <w:t xml:space="preserve">oice over </w:t>
            </w:r>
            <w:r w:rsidR="007356F5">
              <w:t>I</w:t>
            </w:r>
            <w:r w:rsidRPr="00E87FA1">
              <w:t xml:space="preserve">nternet </w:t>
            </w:r>
            <w:r w:rsidR="007356F5">
              <w:t>P</w:t>
            </w:r>
            <w:r w:rsidRPr="00E87FA1">
              <w:t xml:space="preserve">rotocol </w:t>
            </w:r>
            <w:r w:rsidR="007356F5">
              <w:t xml:space="preserve">(VoIP) </w:t>
            </w:r>
            <w:r w:rsidRPr="00E87FA1">
              <w:t>service</w:t>
            </w:r>
            <w:r w:rsidR="007356F5">
              <w:t>,</w:t>
            </w:r>
            <w:r w:rsidRPr="00E87FA1">
              <w:t xml:space="preserve"> </w:t>
            </w:r>
            <w:r w:rsidR="007356F5">
              <w:t>to the fee that funds the TUSF</w:t>
            </w:r>
            <w:r w:rsidR="00C55977">
              <w:t xml:space="preserve"> or to consider funding the TUSF through</w:t>
            </w:r>
            <w:r w:rsidRPr="00E87FA1">
              <w:t xml:space="preserve"> flat fee</w:t>
            </w:r>
            <w:r w:rsidR="007356F5">
              <w:t>,</w:t>
            </w:r>
            <w:r w:rsidRPr="00E87FA1">
              <w:t xml:space="preserve"> connections-based assessment</w:t>
            </w:r>
            <w:r w:rsidR="007356F5">
              <w:t>,</w:t>
            </w:r>
            <w:r w:rsidRPr="00E87FA1">
              <w:t xml:space="preserve"> a technology</w:t>
            </w:r>
            <w:r w:rsidR="00DF1526">
              <w:t>-</w:t>
            </w:r>
            <w:r w:rsidRPr="00E87FA1">
              <w:t xml:space="preserve"> and provider-neutral methodology </w:t>
            </w:r>
            <w:r w:rsidR="00C55977">
              <w:t>that</w:t>
            </w:r>
            <w:r w:rsidRPr="00E87FA1">
              <w:t xml:space="preserve"> has been adopted in </w:t>
            </w:r>
            <w:r w:rsidR="007356F5">
              <w:t>a number of</w:t>
            </w:r>
            <w:r w:rsidR="007356F5" w:rsidRPr="00E87FA1">
              <w:t xml:space="preserve"> </w:t>
            </w:r>
            <w:r w:rsidRPr="00E87FA1">
              <w:t xml:space="preserve">other states. </w:t>
            </w:r>
            <w:r w:rsidR="007356F5">
              <w:t xml:space="preserve">C.S.H.B. 2667 </w:t>
            </w:r>
            <w:r w:rsidR="00D87E8D">
              <w:t xml:space="preserve">seeks to subject VoIP providers to the uniform charge that funds the TUSF and </w:t>
            </w:r>
            <w:r w:rsidR="00337735">
              <w:t>ensure the charge is fairly applied</w:t>
            </w:r>
            <w:r w:rsidR="00BB3E3C">
              <w:t>.</w:t>
            </w:r>
          </w:p>
          <w:p w14:paraId="4986DC1C" w14:textId="77777777" w:rsidR="008423E4" w:rsidRPr="00E26B13" w:rsidRDefault="008423E4" w:rsidP="009A5CA6">
            <w:pPr>
              <w:rPr>
                <w:b/>
              </w:rPr>
            </w:pPr>
          </w:p>
        </w:tc>
      </w:tr>
      <w:tr w:rsidR="006C461B" w14:paraId="51C18FA4" w14:textId="77777777" w:rsidTr="00EA40C4">
        <w:tc>
          <w:tcPr>
            <w:tcW w:w="9360" w:type="dxa"/>
          </w:tcPr>
          <w:p w14:paraId="68582820" w14:textId="77777777" w:rsidR="0017725B" w:rsidRDefault="00374182" w:rsidP="009A5C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0830B0" w14:textId="77777777" w:rsidR="0017725B" w:rsidRDefault="0017725B" w:rsidP="009A5CA6">
            <w:pPr>
              <w:rPr>
                <w:b/>
                <w:u w:val="single"/>
              </w:rPr>
            </w:pPr>
          </w:p>
          <w:p w14:paraId="6A409A57" w14:textId="77777777" w:rsidR="00C6712D" w:rsidRPr="00C6712D" w:rsidRDefault="00374182" w:rsidP="009A5CA6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B6DE39B" w14:textId="77777777" w:rsidR="0017725B" w:rsidRPr="0017725B" w:rsidRDefault="0017725B" w:rsidP="009A5CA6">
            <w:pPr>
              <w:rPr>
                <w:b/>
                <w:u w:val="single"/>
              </w:rPr>
            </w:pPr>
          </w:p>
        </w:tc>
      </w:tr>
      <w:tr w:rsidR="006C461B" w14:paraId="61855D92" w14:textId="77777777" w:rsidTr="00EA40C4">
        <w:tc>
          <w:tcPr>
            <w:tcW w:w="9360" w:type="dxa"/>
          </w:tcPr>
          <w:p w14:paraId="09B07AB8" w14:textId="77777777" w:rsidR="008423E4" w:rsidRPr="00A8133F" w:rsidRDefault="00374182" w:rsidP="009A5C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260AD26" w14:textId="77777777" w:rsidR="008423E4" w:rsidRDefault="008423E4" w:rsidP="009A5CA6"/>
          <w:p w14:paraId="61DF6F82" w14:textId="56D41E07" w:rsidR="00C6712D" w:rsidRDefault="00374182" w:rsidP="009A5C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</w:t>
            </w:r>
            <w:r>
              <w:t>mmittee's opinion that rulemaking authority is expressly granted to the Public Utilit</w:t>
            </w:r>
            <w:r w:rsidR="00DF1526">
              <w:t>y</w:t>
            </w:r>
            <w:r>
              <w:t xml:space="preserve"> Commission of Texas in SECTION 1 of this bill.</w:t>
            </w:r>
          </w:p>
          <w:p w14:paraId="53C5ACDC" w14:textId="77777777" w:rsidR="008423E4" w:rsidRPr="00E21FDC" w:rsidRDefault="008423E4" w:rsidP="009A5CA6">
            <w:pPr>
              <w:rPr>
                <w:b/>
              </w:rPr>
            </w:pPr>
          </w:p>
        </w:tc>
      </w:tr>
      <w:tr w:rsidR="006C461B" w14:paraId="774A422C" w14:textId="77777777" w:rsidTr="00EA40C4">
        <w:tc>
          <w:tcPr>
            <w:tcW w:w="9360" w:type="dxa"/>
          </w:tcPr>
          <w:p w14:paraId="54638839" w14:textId="77777777" w:rsidR="008423E4" w:rsidRPr="00A8133F" w:rsidRDefault="00374182" w:rsidP="009A5C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6DD8EA" w14:textId="77777777" w:rsidR="008423E4" w:rsidRDefault="008423E4" w:rsidP="009A5CA6"/>
          <w:p w14:paraId="274A97C7" w14:textId="105A0C18" w:rsidR="00A41849" w:rsidRDefault="00374182" w:rsidP="009A5C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746BD">
              <w:t xml:space="preserve">H.B. 2667 amends the Utilities Code to </w:t>
            </w:r>
            <w:r w:rsidR="00983822">
              <w:t xml:space="preserve">do the following </w:t>
            </w:r>
            <w:r>
              <w:t>with respect to the</w:t>
            </w:r>
            <w:r w:rsidR="00983822">
              <w:t xml:space="preserve"> uniform charge imposed </w:t>
            </w:r>
            <w:r w:rsidR="003F2F07">
              <w:t xml:space="preserve">on </w:t>
            </w:r>
            <w:r w:rsidR="0070652D">
              <w:t xml:space="preserve">certain telecommunications providers </w:t>
            </w:r>
            <w:r w:rsidR="00983822">
              <w:t>to fund the</w:t>
            </w:r>
            <w:r>
              <w:t xml:space="preserve"> </w:t>
            </w:r>
            <w:r w:rsidR="00615A9F">
              <w:t xml:space="preserve">Texas </w:t>
            </w:r>
            <w:r>
              <w:t>universal service fund (</w:t>
            </w:r>
            <w:r w:rsidR="00615A9F">
              <w:t>T</w:t>
            </w:r>
            <w:r>
              <w:t>USF):</w:t>
            </w:r>
          </w:p>
          <w:p w14:paraId="02666218" w14:textId="4C9D2788" w:rsidR="00A41849" w:rsidRDefault="00374182" w:rsidP="009A5CA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authorize the charge to </w:t>
            </w:r>
            <w:r w:rsidRPr="00A746BD">
              <w:t xml:space="preserve">be </w:t>
            </w:r>
            <w:r w:rsidR="005E7BF6">
              <w:t xml:space="preserve">imposed </w:t>
            </w:r>
            <w:r w:rsidR="00983822">
              <w:t xml:space="preserve">either </w:t>
            </w:r>
            <w:r w:rsidRPr="00A746BD">
              <w:t>in the form of a fee or an assessment on revenues</w:t>
            </w:r>
            <w:r>
              <w:t>;</w:t>
            </w:r>
          </w:p>
          <w:p w14:paraId="6285BC74" w14:textId="44025F21" w:rsidR="00983822" w:rsidRDefault="00374182" w:rsidP="009A5CA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subject each provider of Voice o</w:t>
            </w:r>
            <w:r w:rsidR="002851A9">
              <w:t>ver</w:t>
            </w:r>
            <w:r>
              <w:t xml:space="preserve"> Internet Protocol (VoIP)</w:t>
            </w:r>
            <w:r w:rsidR="002851A9">
              <w:t xml:space="preserve"> service</w:t>
            </w:r>
            <w:r>
              <w:t xml:space="preserve"> that has access to the customer base to that charge; and</w:t>
            </w:r>
          </w:p>
          <w:p w14:paraId="2C5F7097" w14:textId="249D2C62" w:rsidR="00A41849" w:rsidRDefault="00374182" w:rsidP="009A5CA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prohibit the Public Utility Commission of Texas</w:t>
            </w:r>
            <w:r w:rsidR="00DF1526">
              <w:t xml:space="preserve"> (PUC)</w:t>
            </w:r>
            <w:r>
              <w:t xml:space="preserve"> from assessing th</w:t>
            </w:r>
            <w:r w:rsidR="003F2F07">
              <w:t>e</w:t>
            </w:r>
            <w:r>
              <w:t xml:space="preserve"> charge in a manner that </w:t>
            </w:r>
            <w:r w:rsidR="005E7BF6">
              <w:t xml:space="preserve">grants an unreasonable preference based on technology or that </w:t>
            </w:r>
            <w:r>
              <w:t>is not technology</w:t>
            </w:r>
            <w:r w:rsidR="00983822">
              <w:t>-</w:t>
            </w:r>
            <w:r>
              <w:t>neutral</w:t>
            </w:r>
            <w:r w:rsidR="003F2F07">
              <w:t xml:space="preserve"> or from assessing the charge for the service on a device that a consumer of the service uses to access the service</w:t>
            </w:r>
            <w:r w:rsidR="00983822">
              <w:t>.</w:t>
            </w:r>
          </w:p>
          <w:p w14:paraId="757E3AAE" w14:textId="77777777" w:rsidR="00C04D8A" w:rsidRDefault="00C04D8A" w:rsidP="009A5CA6">
            <w:pPr>
              <w:pStyle w:val="Header"/>
              <w:jc w:val="both"/>
            </w:pPr>
          </w:p>
          <w:p w14:paraId="270C6EAC" w14:textId="03483396" w:rsidR="00A41849" w:rsidRDefault="00374182" w:rsidP="009A5CA6">
            <w:pPr>
              <w:pStyle w:val="Header"/>
              <w:jc w:val="both"/>
            </w:pPr>
            <w:r>
              <w:t>C.S.H.B. 2667</w:t>
            </w:r>
            <w:r w:rsidR="00983822">
              <w:t xml:space="preserve"> </w:t>
            </w:r>
            <w:r>
              <w:t>defines</w:t>
            </w:r>
            <w:r w:rsidR="00C6712D">
              <w:t xml:space="preserve"> "high cost rural area</w:t>
            </w:r>
            <w:r w:rsidR="0074738F">
              <w:t>,</w:t>
            </w:r>
            <w:r w:rsidR="00C6712D">
              <w:t xml:space="preserve">" </w:t>
            </w:r>
            <w:r w:rsidR="00983822">
              <w:t>as that term relates</w:t>
            </w:r>
            <w:r w:rsidR="009D75C1">
              <w:t xml:space="preserve"> to</w:t>
            </w:r>
            <w:r w:rsidR="008E4EC9">
              <w:t xml:space="preserve"> the </w:t>
            </w:r>
            <w:r w:rsidR="00615A9F">
              <w:t>T</w:t>
            </w:r>
            <w:r w:rsidR="008E4EC9">
              <w:t xml:space="preserve">USF </w:t>
            </w:r>
            <w:r w:rsidR="008B623B">
              <w:t xml:space="preserve">purpose of </w:t>
            </w:r>
            <w:r w:rsidR="00FD142F">
              <w:t xml:space="preserve">assisting </w:t>
            </w:r>
            <w:r w:rsidR="00D458DF">
              <w:t xml:space="preserve">in </w:t>
            </w:r>
            <w:r w:rsidR="00FD142F">
              <w:t>the provision of</w:t>
            </w:r>
            <w:r>
              <w:t xml:space="preserve"> basic local telecommunications s</w:t>
            </w:r>
            <w:r>
              <w:t xml:space="preserve">ervice at reasonable rates in </w:t>
            </w:r>
            <w:r w:rsidR="00FD142F">
              <w:t>such</w:t>
            </w:r>
            <w:r>
              <w:t xml:space="preserve"> areas</w:t>
            </w:r>
            <w:r w:rsidR="00FD142F">
              <w:t>,</w:t>
            </w:r>
            <w:r>
              <w:t xml:space="preserve"> as follows:</w:t>
            </w:r>
          </w:p>
          <w:p w14:paraId="07DB64FB" w14:textId="0761B5C1" w:rsidR="00A41849" w:rsidRDefault="00374182" w:rsidP="009A5CA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 area served by a </w:t>
            </w:r>
            <w:r w:rsidR="00A56F4C">
              <w:t xml:space="preserve">qualifying </w:t>
            </w:r>
            <w:r>
              <w:t xml:space="preserve">small incumbent local exchange company or cooperative; </w:t>
            </w:r>
            <w:r w:rsidR="00C04D8A">
              <w:t xml:space="preserve">or </w:t>
            </w:r>
          </w:p>
          <w:p w14:paraId="50908206" w14:textId="2ADAA0B1" w:rsidR="00D458DF" w:rsidRDefault="00374182" w:rsidP="009A5CA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 exchange receiving support </w:t>
            </w:r>
            <w:r w:rsidR="00A41849">
              <w:t xml:space="preserve">under </w:t>
            </w:r>
            <w:r w:rsidR="00C04D8A" w:rsidRPr="00C04D8A">
              <w:t>the Texas High Cost Universal Service Plan</w:t>
            </w:r>
            <w:r w:rsidR="00C04D8A">
              <w:t xml:space="preserve"> or </w:t>
            </w:r>
            <w:r w:rsidR="00C04D8A" w:rsidRPr="00C04D8A">
              <w:t>the Small and Rural Incumbent Local Exchange Company Universal Service Plan</w:t>
            </w:r>
            <w:r w:rsidR="00C04D8A">
              <w:t xml:space="preserve"> and designated by PUC rule, taking into account the </w:t>
            </w:r>
            <w:r>
              <w:t>following:</w:t>
            </w:r>
          </w:p>
          <w:p w14:paraId="4D3DD2DB" w14:textId="77777777" w:rsidR="00D458DF" w:rsidRDefault="00374182" w:rsidP="009A5CA6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the </w:t>
            </w:r>
            <w:r w:rsidR="00C04D8A">
              <w:t>number of</w:t>
            </w:r>
            <w:r>
              <w:t xml:space="preserve"> providers serving the exchange;</w:t>
            </w:r>
          </w:p>
          <w:p w14:paraId="1B670159" w14:textId="77777777" w:rsidR="00D458DF" w:rsidRDefault="00374182" w:rsidP="009A5CA6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population density in the exchange; and</w:t>
            </w:r>
          </w:p>
          <w:p w14:paraId="14B34BCB" w14:textId="384A7493" w:rsidR="00A746BD" w:rsidRDefault="00374182" w:rsidP="009A5CA6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number of customers served per route mile of plant in</w:t>
            </w:r>
            <w:r>
              <w:t xml:space="preserve"> service used to provide basic telecommunications service</w:t>
            </w:r>
            <w:r w:rsidR="00C6712D">
              <w:t>.</w:t>
            </w:r>
          </w:p>
          <w:p w14:paraId="6CE7B9AE" w14:textId="2053689D" w:rsidR="00C04D8A" w:rsidRPr="009C36CD" w:rsidRDefault="00374182" w:rsidP="009A5CA6">
            <w:pPr>
              <w:pStyle w:val="Header"/>
              <w:jc w:val="both"/>
            </w:pPr>
            <w:r>
              <w:t xml:space="preserve">The bill requires the PUC to adopt rules </w:t>
            </w:r>
            <w:r w:rsidR="00CA2279">
              <w:t xml:space="preserve">for designating high cost rural area exchanges </w:t>
            </w:r>
            <w:r>
              <w:t>not later than December 31, 2021.</w:t>
            </w:r>
          </w:p>
          <w:p w14:paraId="3D6F70E1" w14:textId="77777777" w:rsidR="008423E4" w:rsidRPr="00835628" w:rsidRDefault="008423E4" w:rsidP="009A5CA6">
            <w:pPr>
              <w:rPr>
                <w:b/>
              </w:rPr>
            </w:pPr>
          </w:p>
        </w:tc>
      </w:tr>
      <w:tr w:rsidR="006C461B" w14:paraId="33EC7C92" w14:textId="77777777" w:rsidTr="00EA40C4">
        <w:tc>
          <w:tcPr>
            <w:tcW w:w="9360" w:type="dxa"/>
          </w:tcPr>
          <w:p w14:paraId="76D99B66" w14:textId="77777777" w:rsidR="008423E4" w:rsidRPr="00A8133F" w:rsidRDefault="00374182" w:rsidP="009A5C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52B9D5B" w14:textId="77777777" w:rsidR="008423E4" w:rsidRDefault="008423E4" w:rsidP="009A5CA6"/>
          <w:p w14:paraId="454064EE" w14:textId="77777777" w:rsidR="008423E4" w:rsidRPr="003624F2" w:rsidRDefault="00374182" w:rsidP="009A5C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2021.</w:t>
            </w:r>
          </w:p>
          <w:p w14:paraId="526CD321" w14:textId="77777777" w:rsidR="008423E4" w:rsidRPr="00233FDB" w:rsidRDefault="008423E4" w:rsidP="009A5CA6">
            <w:pPr>
              <w:rPr>
                <w:b/>
              </w:rPr>
            </w:pPr>
          </w:p>
        </w:tc>
      </w:tr>
      <w:tr w:rsidR="006C461B" w14:paraId="348A22DF" w14:textId="77777777" w:rsidTr="00EA40C4">
        <w:tc>
          <w:tcPr>
            <w:tcW w:w="9360" w:type="dxa"/>
          </w:tcPr>
          <w:p w14:paraId="1C9FCE60" w14:textId="77777777" w:rsidR="00567BE6" w:rsidRDefault="00374182" w:rsidP="00567BE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E051882" w14:textId="18C6C5D2" w:rsidR="00EA40C4" w:rsidRPr="00567BE6" w:rsidRDefault="00EA40C4" w:rsidP="00567BE6">
            <w:pPr>
              <w:jc w:val="both"/>
              <w:rPr>
                <w:b/>
                <w:u w:val="single"/>
              </w:rPr>
            </w:pPr>
          </w:p>
        </w:tc>
      </w:tr>
      <w:tr w:rsidR="006C461B" w14:paraId="5AE95FA0" w14:textId="77777777" w:rsidTr="00EA40C4">
        <w:tc>
          <w:tcPr>
            <w:tcW w:w="9360" w:type="dxa"/>
          </w:tcPr>
          <w:p w14:paraId="41E19FDA" w14:textId="77777777" w:rsidR="00E54DE5" w:rsidRDefault="00374182" w:rsidP="00E54DE5">
            <w:pPr>
              <w:jc w:val="both"/>
            </w:pPr>
            <w:r>
              <w:t>While C.S.H.B. 2667 may differ from the original in minor or nonsubstantive ways, the following summarizes the substantial differences between the introduced and committee substit</w:t>
            </w:r>
            <w:r>
              <w:t>ute versions of the bill.</w:t>
            </w:r>
          </w:p>
          <w:p w14:paraId="07BE3754" w14:textId="77777777" w:rsidR="00E54DE5" w:rsidRDefault="00E54DE5" w:rsidP="00E54DE5">
            <w:pPr>
              <w:jc w:val="both"/>
            </w:pPr>
          </w:p>
          <w:p w14:paraId="275D4FC8" w14:textId="77777777" w:rsidR="00E54DE5" w:rsidRDefault="00374182" w:rsidP="00E54DE5">
            <w:pPr>
              <w:jc w:val="both"/>
            </w:pPr>
            <w:r>
              <w:t>The substitute does not classify a VoIP provider as a telecommunications provider for purposes of all provisions of the Public Utility Regulatory Act regulating telecommunications utilities, including provisions providing for the</w:t>
            </w:r>
            <w:r>
              <w:t xml:space="preserve"> funding of the TUSF through a uniform charge on telecommunications providers, as in the original. The substitute instead explicitly subjects VoIP providers to that uniform charge and to a related PUC reporting requirement. </w:t>
            </w:r>
          </w:p>
          <w:p w14:paraId="41CA8353" w14:textId="77777777" w:rsidR="00E54DE5" w:rsidRDefault="00E54DE5" w:rsidP="00E54DE5">
            <w:pPr>
              <w:jc w:val="both"/>
            </w:pPr>
          </w:p>
          <w:p w14:paraId="111CCE90" w14:textId="77777777" w:rsidR="00E54DE5" w:rsidRDefault="00374182" w:rsidP="00E54DE5">
            <w:pPr>
              <w:jc w:val="both"/>
            </w:pPr>
            <w:r>
              <w:t xml:space="preserve">The substitute includes a provision not in the original prohibiting the PUC from assessing the uniform charge for the service </w:t>
            </w:r>
            <w:r w:rsidRPr="003F2F07">
              <w:t>on a device that a consumer of the service uses to access the service.</w:t>
            </w:r>
          </w:p>
          <w:p w14:paraId="192D21C3" w14:textId="77777777" w:rsidR="00E54DE5" w:rsidRDefault="00E54DE5" w:rsidP="00E54DE5">
            <w:pPr>
              <w:jc w:val="both"/>
            </w:pPr>
          </w:p>
          <w:p w14:paraId="7374F933" w14:textId="77777777" w:rsidR="00E54DE5" w:rsidRDefault="00374182" w:rsidP="00E54DE5">
            <w:pPr>
              <w:jc w:val="both"/>
            </w:pPr>
            <w:r>
              <w:t xml:space="preserve">The substitute revises the original's definition of "high </w:t>
            </w:r>
            <w:r>
              <w:t>cost rural area" by preserving the original's reference to another provision's definition of "small provider" and changing the category of exchange described.</w:t>
            </w:r>
          </w:p>
          <w:p w14:paraId="6988FEAE" w14:textId="77777777" w:rsidR="00E54DE5" w:rsidRDefault="00E54DE5" w:rsidP="00E54DE5">
            <w:pPr>
              <w:jc w:val="both"/>
            </w:pPr>
          </w:p>
          <w:p w14:paraId="249DF5BF" w14:textId="479F3B71" w:rsidR="00C86D56" w:rsidRPr="009C1E9A" w:rsidRDefault="00374182" w:rsidP="00E54DE5">
            <w:pPr>
              <w:jc w:val="both"/>
              <w:rPr>
                <w:b/>
                <w:u w:val="single"/>
              </w:rPr>
            </w:pPr>
            <w:r>
              <w:t>The substitute includes a deadline for the PUC to adopt rules required by a provision of the bil</w:t>
            </w:r>
            <w:r>
              <w:t>l.</w:t>
            </w:r>
          </w:p>
        </w:tc>
      </w:tr>
      <w:tr w:rsidR="006C461B" w14:paraId="2F5E9EAB" w14:textId="77777777" w:rsidTr="00EA40C4">
        <w:tc>
          <w:tcPr>
            <w:tcW w:w="9360" w:type="dxa"/>
          </w:tcPr>
          <w:p w14:paraId="38910AF8" w14:textId="77777777" w:rsidR="00C86D56" w:rsidRPr="00567BE6" w:rsidRDefault="00C86D56" w:rsidP="00567BE6">
            <w:pPr>
              <w:spacing w:line="480" w:lineRule="auto"/>
              <w:jc w:val="both"/>
            </w:pPr>
          </w:p>
        </w:tc>
      </w:tr>
      <w:tr w:rsidR="006C461B" w14:paraId="1A8F966C" w14:textId="77777777" w:rsidTr="00EA40C4">
        <w:tc>
          <w:tcPr>
            <w:tcW w:w="9360" w:type="dxa"/>
          </w:tcPr>
          <w:p w14:paraId="06DAFFAF" w14:textId="77777777" w:rsidR="00567BE6" w:rsidRPr="00D62E52" w:rsidRDefault="00567BE6" w:rsidP="009A5CA6">
            <w:pPr>
              <w:jc w:val="both"/>
            </w:pPr>
          </w:p>
        </w:tc>
      </w:tr>
      <w:tr w:rsidR="006C461B" w14:paraId="1E42D030" w14:textId="77777777" w:rsidTr="00EA40C4">
        <w:tc>
          <w:tcPr>
            <w:tcW w:w="9360" w:type="dxa"/>
          </w:tcPr>
          <w:p w14:paraId="2C6AF4EC" w14:textId="77777777" w:rsidR="00567BE6" w:rsidRPr="00D62E52" w:rsidRDefault="00567BE6" w:rsidP="009A5CA6">
            <w:pPr>
              <w:jc w:val="both"/>
            </w:pPr>
          </w:p>
        </w:tc>
      </w:tr>
      <w:tr w:rsidR="006C461B" w14:paraId="318C823A" w14:textId="77777777" w:rsidTr="00EA40C4">
        <w:tc>
          <w:tcPr>
            <w:tcW w:w="9360" w:type="dxa"/>
          </w:tcPr>
          <w:p w14:paraId="238E9F93" w14:textId="77777777" w:rsidR="00567BE6" w:rsidRPr="00D62E52" w:rsidRDefault="00567BE6" w:rsidP="009A5CA6">
            <w:pPr>
              <w:jc w:val="both"/>
            </w:pPr>
          </w:p>
        </w:tc>
      </w:tr>
    </w:tbl>
    <w:p w14:paraId="1273AFE1" w14:textId="77777777" w:rsidR="008423E4" w:rsidRPr="00BE0E75" w:rsidRDefault="008423E4" w:rsidP="00FA5682">
      <w:pPr>
        <w:jc w:val="both"/>
        <w:rPr>
          <w:rFonts w:ascii="Arial" w:hAnsi="Arial"/>
          <w:sz w:val="16"/>
          <w:szCs w:val="16"/>
        </w:rPr>
      </w:pPr>
    </w:p>
    <w:p w14:paraId="7B2EFF1C" w14:textId="77777777" w:rsidR="004108C3" w:rsidRPr="008423E4" w:rsidRDefault="004108C3" w:rsidP="00FA568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5E00F" w14:textId="77777777" w:rsidR="00000000" w:rsidRDefault="00374182">
      <w:r>
        <w:separator/>
      </w:r>
    </w:p>
  </w:endnote>
  <w:endnote w:type="continuationSeparator" w:id="0">
    <w:p w14:paraId="5B11833E" w14:textId="77777777" w:rsidR="00000000" w:rsidRDefault="0037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28AC" w14:textId="77777777" w:rsidR="00CF707F" w:rsidRDefault="00CF7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461B" w14:paraId="73EF3C86" w14:textId="77777777" w:rsidTr="009C1E9A">
      <w:trPr>
        <w:cantSplit/>
      </w:trPr>
      <w:tc>
        <w:tcPr>
          <w:tcW w:w="0" w:type="pct"/>
        </w:tcPr>
        <w:p w14:paraId="14B00E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30F3B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E02BC0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F323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FB4BE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461B" w14:paraId="1C74BA02" w14:textId="77777777" w:rsidTr="009C1E9A">
      <w:trPr>
        <w:cantSplit/>
      </w:trPr>
      <w:tc>
        <w:tcPr>
          <w:tcW w:w="0" w:type="pct"/>
        </w:tcPr>
        <w:p w14:paraId="3BF1CB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19D4C8" w14:textId="37AE456A" w:rsidR="00EC379B" w:rsidRPr="009C1E9A" w:rsidRDefault="003741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21227</w:t>
          </w:r>
        </w:p>
      </w:tc>
      <w:tc>
        <w:tcPr>
          <w:tcW w:w="2453" w:type="pct"/>
        </w:tcPr>
        <w:p w14:paraId="6804D538" w14:textId="77CD6B3F" w:rsidR="00EC379B" w:rsidRDefault="003741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329E8">
            <w:t>21.106.1184</w:t>
          </w:r>
          <w:r>
            <w:fldChar w:fldCharType="end"/>
          </w:r>
        </w:p>
      </w:tc>
    </w:tr>
    <w:tr w:rsidR="006C461B" w14:paraId="3A2D6806" w14:textId="77777777" w:rsidTr="009C1E9A">
      <w:trPr>
        <w:cantSplit/>
      </w:trPr>
      <w:tc>
        <w:tcPr>
          <w:tcW w:w="0" w:type="pct"/>
        </w:tcPr>
        <w:p w14:paraId="4510B17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C7450A3" w14:textId="47E9036D" w:rsidR="00EC379B" w:rsidRPr="009C1E9A" w:rsidRDefault="003741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19315</w:t>
          </w:r>
        </w:p>
      </w:tc>
      <w:tc>
        <w:tcPr>
          <w:tcW w:w="2453" w:type="pct"/>
        </w:tcPr>
        <w:p w14:paraId="0546381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1E35B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461B" w14:paraId="53F2E4C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FC7B21" w14:textId="6B5CE5BB" w:rsidR="00EC379B" w:rsidRDefault="003741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329E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430C8FB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3EA89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264D1" w14:textId="77777777" w:rsidR="00CF707F" w:rsidRDefault="00CF7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CFC8" w14:textId="77777777" w:rsidR="00000000" w:rsidRDefault="00374182">
      <w:r>
        <w:separator/>
      </w:r>
    </w:p>
  </w:footnote>
  <w:footnote w:type="continuationSeparator" w:id="0">
    <w:p w14:paraId="7B1F9652" w14:textId="77777777" w:rsidR="00000000" w:rsidRDefault="0037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6A70" w14:textId="77777777" w:rsidR="00CF707F" w:rsidRDefault="00CF7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631A" w14:textId="77777777" w:rsidR="00CF707F" w:rsidRDefault="00CF7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C38F" w14:textId="77777777" w:rsidR="00CF707F" w:rsidRDefault="00CF7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9C6"/>
    <w:multiLevelType w:val="hybridMultilevel"/>
    <w:tmpl w:val="AF0E4DC0"/>
    <w:lvl w:ilvl="0" w:tplc="43BE2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47C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49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47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00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4E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67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89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4C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817E3"/>
    <w:multiLevelType w:val="hybridMultilevel"/>
    <w:tmpl w:val="33D6F90A"/>
    <w:lvl w:ilvl="0" w:tplc="6E925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CD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EB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6B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48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41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E6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41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89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6990"/>
    <w:multiLevelType w:val="hybridMultilevel"/>
    <w:tmpl w:val="176247C8"/>
    <w:lvl w:ilvl="0" w:tplc="80443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6E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48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6D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8A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26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6E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6C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54A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B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99F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90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D78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3D"/>
    <w:rsid w:val="0018117F"/>
    <w:rsid w:val="001824ED"/>
    <w:rsid w:val="00183262"/>
    <w:rsid w:val="00184B03"/>
    <w:rsid w:val="00185C59"/>
    <w:rsid w:val="00187C1B"/>
    <w:rsid w:val="001908AC"/>
    <w:rsid w:val="00190CFB"/>
    <w:rsid w:val="00191CFD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3CF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EA1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1A9"/>
    <w:rsid w:val="002874E3"/>
    <w:rsid w:val="00287656"/>
    <w:rsid w:val="00291518"/>
    <w:rsid w:val="002928EC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2A60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492A"/>
    <w:rsid w:val="00310EB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37735"/>
    <w:rsid w:val="003427C9"/>
    <w:rsid w:val="00343A92"/>
    <w:rsid w:val="00344530"/>
    <w:rsid w:val="003446DC"/>
    <w:rsid w:val="00344BCD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182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F07"/>
    <w:rsid w:val="003F7688"/>
    <w:rsid w:val="003F77F8"/>
    <w:rsid w:val="004006F7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D01"/>
    <w:rsid w:val="004241AA"/>
    <w:rsid w:val="0042422E"/>
    <w:rsid w:val="0043190E"/>
    <w:rsid w:val="004324E9"/>
    <w:rsid w:val="004350F3"/>
    <w:rsid w:val="00436980"/>
    <w:rsid w:val="00441016"/>
    <w:rsid w:val="00441EA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E5F"/>
    <w:rsid w:val="004A03F7"/>
    <w:rsid w:val="004A081C"/>
    <w:rsid w:val="004A123F"/>
    <w:rsid w:val="004A2172"/>
    <w:rsid w:val="004B138F"/>
    <w:rsid w:val="004B2F46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67BE6"/>
    <w:rsid w:val="00572BC4"/>
    <w:rsid w:val="00573401"/>
    <w:rsid w:val="00576714"/>
    <w:rsid w:val="0057685A"/>
    <w:rsid w:val="005847EF"/>
    <w:rsid w:val="005851E6"/>
    <w:rsid w:val="005878B7"/>
    <w:rsid w:val="005902A4"/>
    <w:rsid w:val="00592C9A"/>
    <w:rsid w:val="00593DF8"/>
    <w:rsid w:val="0059409D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B1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E7BF6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A9F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8C3"/>
    <w:rsid w:val="0067036E"/>
    <w:rsid w:val="00671693"/>
    <w:rsid w:val="00674ACF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D88"/>
    <w:rsid w:val="006B7A2E"/>
    <w:rsid w:val="006C461B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52D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6F5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38F"/>
    <w:rsid w:val="007509BE"/>
    <w:rsid w:val="0075287B"/>
    <w:rsid w:val="00755C7B"/>
    <w:rsid w:val="00764786"/>
    <w:rsid w:val="00766E12"/>
    <w:rsid w:val="0077098E"/>
    <w:rsid w:val="00771287"/>
    <w:rsid w:val="0077149E"/>
    <w:rsid w:val="00772362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67F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83D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23B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4EC9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B2C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188C"/>
    <w:rsid w:val="00972797"/>
    <w:rsid w:val="0097279D"/>
    <w:rsid w:val="00976837"/>
    <w:rsid w:val="00980311"/>
    <w:rsid w:val="0098170E"/>
    <w:rsid w:val="0098285C"/>
    <w:rsid w:val="00983822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CA6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75C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1849"/>
    <w:rsid w:val="00A425FA"/>
    <w:rsid w:val="00A43960"/>
    <w:rsid w:val="00A46902"/>
    <w:rsid w:val="00A50CDB"/>
    <w:rsid w:val="00A51F3E"/>
    <w:rsid w:val="00A5364B"/>
    <w:rsid w:val="00A54142"/>
    <w:rsid w:val="00A54C42"/>
    <w:rsid w:val="00A55297"/>
    <w:rsid w:val="00A56F4C"/>
    <w:rsid w:val="00A572B1"/>
    <w:rsid w:val="00A577AF"/>
    <w:rsid w:val="00A60177"/>
    <w:rsid w:val="00A61C27"/>
    <w:rsid w:val="00A6344D"/>
    <w:rsid w:val="00A644B8"/>
    <w:rsid w:val="00A70E35"/>
    <w:rsid w:val="00A720DC"/>
    <w:rsid w:val="00A746BD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FD0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566"/>
    <w:rsid w:val="00AD7780"/>
    <w:rsid w:val="00AE2263"/>
    <w:rsid w:val="00AE248E"/>
    <w:rsid w:val="00AE2D12"/>
    <w:rsid w:val="00AE2F06"/>
    <w:rsid w:val="00AE4F1C"/>
    <w:rsid w:val="00AE6D26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7040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E3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4D8A"/>
    <w:rsid w:val="00C05406"/>
    <w:rsid w:val="00C05CF0"/>
    <w:rsid w:val="00C05FBE"/>
    <w:rsid w:val="00C119AC"/>
    <w:rsid w:val="00C147A7"/>
    <w:rsid w:val="00C14EE6"/>
    <w:rsid w:val="00C151DA"/>
    <w:rsid w:val="00C152A1"/>
    <w:rsid w:val="00C16CCB"/>
    <w:rsid w:val="00C2142B"/>
    <w:rsid w:val="00C22987"/>
    <w:rsid w:val="00C22F1D"/>
    <w:rsid w:val="00C23956"/>
    <w:rsid w:val="00C248E6"/>
    <w:rsid w:val="00C2766F"/>
    <w:rsid w:val="00C3223B"/>
    <w:rsid w:val="00C329E8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97B"/>
    <w:rsid w:val="00C55977"/>
    <w:rsid w:val="00C57933"/>
    <w:rsid w:val="00C60206"/>
    <w:rsid w:val="00C615D4"/>
    <w:rsid w:val="00C61B5D"/>
    <w:rsid w:val="00C61C0E"/>
    <w:rsid w:val="00C61C64"/>
    <w:rsid w:val="00C61CDA"/>
    <w:rsid w:val="00C6712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D56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279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296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BE8"/>
    <w:rsid w:val="00CE300F"/>
    <w:rsid w:val="00CE3582"/>
    <w:rsid w:val="00CE3795"/>
    <w:rsid w:val="00CE3E20"/>
    <w:rsid w:val="00CF4827"/>
    <w:rsid w:val="00CF4C69"/>
    <w:rsid w:val="00CF581C"/>
    <w:rsid w:val="00CF707F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3F8"/>
    <w:rsid w:val="00D34D72"/>
    <w:rsid w:val="00D35728"/>
    <w:rsid w:val="00D37BCF"/>
    <w:rsid w:val="00D40F93"/>
    <w:rsid w:val="00D42277"/>
    <w:rsid w:val="00D43C59"/>
    <w:rsid w:val="00D44ADE"/>
    <w:rsid w:val="00D458DF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E52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E8D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604F"/>
    <w:rsid w:val="00DD7509"/>
    <w:rsid w:val="00DD79C7"/>
    <w:rsid w:val="00DD7D6E"/>
    <w:rsid w:val="00DE34B2"/>
    <w:rsid w:val="00DE49DE"/>
    <w:rsid w:val="00DE618B"/>
    <w:rsid w:val="00DE6EC2"/>
    <w:rsid w:val="00DF0834"/>
    <w:rsid w:val="00DF1526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82E"/>
    <w:rsid w:val="00E11D27"/>
    <w:rsid w:val="00E1228E"/>
    <w:rsid w:val="00E13374"/>
    <w:rsid w:val="00E13F53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DE5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87FA1"/>
    <w:rsid w:val="00E90702"/>
    <w:rsid w:val="00E9241E"/>
    <w:rsid w:val="00E93DEF"/>
    <w:rsid w:val="00E947B1"/>
    <w:rsid w:val="00E96852"/>
    <w:rsid w:val="00EA16AC"/>
    <w:rsid w:val="00EA385A"/>
    <w:rsid w:val="00EA3931"/>
    <w:rsid w:val="00EA40C4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620"/>
    <w:rsid w:val="00F6587F"/>
    <w:rsid w:val="00F67981"/>
    <w:rsid w:val="00F706CA"/>
    <w:rsid w:val="00F70F8D"/>
    <w:rsid w:val="00F71C5A"/>
    <w:rsid w:val="00F733A4"/>
    <w:rsid w:val="00F7758F"/>
    <w:rsid w:val="00F81843"/>
    <w:rsid w:val="00F82048"/>
    <w:rsid w:val="00F82811"/>
    <w:rsid w:val="00F84153"/>
    <w:rsid w:val="00F85661"/>
    <w:rsid w:val="00F94644"/>
    <w:rsid w:val="00F96602"/>
    <w:rsid w:val="00F9735A"/>
    <w:rsid w:val="00FA0DB8"/>
    <w:rsid w:val="00FA32FC"/>
    <w:rsid w:val="00FA5682"/>
    <w:rsid w:val="00FA59FD"/>
    <w:rsid w:val="00FA5D8C"/>
    <w:rsid w:val="00FA6403"/>
    <w:rsid w:val="00FB16CD"/>
    <w:rsid w:val="00FB73AE"/>
    <w:rsid w:val="00FC5388"/>
    <w:rsid w:val="00FC726C"/>
    <w:rsid w:val="00FD142F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65C7D3-1B35-4834-BCF3-20B7F65B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6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6BD"/>
    <w:rPr>
      <w:b/>
      <w:bCs/>
    </w:rPr>
  </w:style>
  <w:style w:type="character" w:styleId="Hyperlink">
    <w:name w:val="Hyperlink"/>
    <w:basedOn w:val="DefaultParagraphFont"/>
    <w:unhideWhenUsed/>
    <w:rsid w:val="00590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F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85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3602</Characters>
  <Application>Microsoft Office Word</Application>
  <DocSecurity>4</DocSecurity>
  <Lines>93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HB02667 (Committee Report (Substituted))</vt:lpstr>
    </vt:vector>
  </TitlesOfParts>
  <Company>State of Texas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21227</dc:subject>
  <dc:creator>State of Texas</dc:creator>
  <dc:description>HB 2667 by Smithee-(H)State Affairs (Substitute Document Number: 87R 19315)</dc:description>
  <cp:lastModifiedBy>Stacey Nicchio</cp:lastModifiedBy>
  <cp:revision>2</cp:revision>
  <cp:lastPrinted>2003-11-26T17:21:00Z</cp:lastPrinted>
  <dcterms:created xsi:type="dcterms:W3CDTF">2021-04-22T17:53:00Z</dcterms:created>
  <dcterms:modified xsi:type="dcterms:W3CDTF">2021-04-22T17:53:00Z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21.106.1184</vt:lpwstr>
  </property>
</Properties>
</file>