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13C0B" w14:paraId="1050F966" w14:textId="77777777" w:rsidTr="00345119">
        <w:tc>
          <w:tcPr>
            <w:tcW w:w="9576" w:type="dxa"/>
            <w:noWrap/>
          </w:tcPr>
          <w:p w14:paraId="07778C60" w14:textId="77777777" w:rsidR="008423E4" w:rsidRPr="0022177D" w:rsidRDefault="00B26D82" w:rsidP="007067C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D7C6C37" w14:textId="77777777" w:rsidR="008423E4" w:rsidRPr="0022177D" w:rsidRDefault="008423E4" w:rsidP="007067C4">
      <w:pPr>
        <w:jc w:val="center"/>
      </w:pPr>
    </w:p>
    <w:p w14:paraId="79502942" w14:textId="77777777" w:rsidR="008423E4" w:rsidRPr="00B31F0E" w:rsidRDefault="008423E4" w:rsidP="007067C4"/>
    <w:p w14:paraId="134BBA6C" w14:textId="77777777" w:rsidR="008423E4" w:rsidRPr="00742794" w:rsidRDefault="008423E4" w:rsidP="007067C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3C0B" w14:paraId="1304BB46" w14:textId="77777777" w:rsidTr="00345119">
        <w:tc>
          <w:tcPr>
            <w:tcW w:w="9576" w:type="dxa"/>
          </w:tcPr>
          <w:p w14:paraId="5B3B7502" w14:textId="48DDC30C" w:rsidR="008423E4" w:rsidRPr="00861995" w:rsidRDefault="00B26D82" w:rsidP="007067C4">
            <w:pPr>
              <w:jc w:val="right"/>
            </w:pPr>
            <w:r>
              <w:t>C.S.H.B. 2675</w:t>
            </w:r>
          </w:p>
        </w:tc>
      </w:tr>
      <w:tr w:rsidR="00613C0B" w14:paraId="58B7F3F7" w14:textId="77777777" w:rsidTr="00345119">
        <w:tc>
          <w:tcPr>
            <w:tcW w:w="9576" w:type="dxa"/>
          </w:tcPr>
          <w:p w14:paraId="37913556" w14:textId="6AF8BA08" w:rsidR="008423E4" w:rsidRPr="00861995" w:rsidRDefault="00B26D82" w:rsidP="007067C4">
            <w:pPr>
              <w:jc w:val="right"/>
            </w:pPr>
            <w:r>
              <w:t xml:space="preserve">By: </w:t>
            </w:r>
            <w:r w:rsidR="0015101D">
              <w:t>Guillen</w:t>
            </w:r>
          </w:p>
        </w:tc>
      </w:tr>
      <w:tr w:rsidR="00613C0B" w14:paraId="2869B520" w14:textId="77777777" w:rsidTr="00345119">
        <w:tc>
          <w:tcPr>
            <w:tcW w:w="9576" w:type="dxa"/>
          </w:tcPr>
          <w:p w14:paraId="24172EC3" w14:textId="6383CC6E" w:rsidR="008423E4" w:rsidRPr="00861995" w:rsidRDefault="00B26D82" w:rsidP="007067C4">
            <w:pPr>
              <w:jc w:val="right"/>
            </w:pPr>
            <w:r>
              <w:t>Homeland Security &amp; Public Safety</w:t>
            </w:r>
          </w:p>
        </w:tc>
      </w:tr>
      <w:tr w:rsidR="00613C0B" w14:paraId="5C139E07" w14:textId="77777777" w:rsidTr="00345119">
        <w:tc>
          <w:tcPr>
            <w:tcW w:w="9576" w:type="dxa"/>
          </w:tcPr>
          <w:p w14:paraId="7A564EA2" w14:textId="218B107D" w:rsidR="008423E4" w:rsidRDefault="00B26D82" w:rsidP="007067C4">
            <w:pPr>
              <w:jc w:val="right"/>
            </w:pPr>
            <w:r>
              <w:t>Committee Report (Substituted)</w:t>
            </w:r>
          </w:p>
        </w:tc>
      </w:tr>
    </w:tbl>
    <w:p w14:paraId="77A25213" w14:textId="77777777" w:rsidR="008423E4" w:rsidRDefault="008423E4" w:rsidP="007067C4">
      <w:pPr>
        <w:tabs>
          <w:tab w:val="right" w:pos="9360"/>
        </w:tabs>
      </w:pPr>
    </w:p>
    <w:p w14:paraId="29339372" w14:textId="77777777" w:rsidR="008423E4" w:rsidRDefault="008423E4" w:rsidP="007067C4"/>
    <w:p w14:paraId="3AAC4FA9" w14:textId="77777777" w:rsidR="008423E4" w:rsidRDefault="008423E4" w:rsidP="007067C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13C0B" w14:paraId="6A8CF54D" w14:textId="77777777" w:rsidTr="00345119">
        <w:tc>
          <w:tcPr>
            <w:tcW w:w="9576" w:type="dxa"/>
          </w:tcPr>
          <w:p w14:paraId="7F78D8AA" w14:textId="77777777" w:rsidR="008423E4" w:rsidRPr="00A8133F" w:rsidRDefault="00B26D82" w:rsidP="007067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A1CDC88" w14:textId="77777777" w:rsidR="008423E4" w:rsidRDefault="008423E4" w:rsidP="007067C4"/>
          <w:p w14:paraId="2045211A" w14:textId="04805676" w:rsidR="008423E4" w:rsidRDefault="00B26D82" w:rsidP="007067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Many </w:t>
            </w:r>
            <w:r w:rsidR="00732D23">
              <w:t xml:space="preserve">Texans acquire a license to carry </w:t>
            </w:r>
            <w:r w:rsidR="009325BE">
              <w:t xml:space="preserve">a handgun </w:t>
            </w:r>
            <w:r w:rsidR="00732D23">
              <w:t>in order to protect their families and themselves. People can become at</w:t>
            </w:r>
            <w:r w:rsidR="008E0CC6">
              <w:t xml:space="preserve"> </w:t>
            </w:r>
            <w:r w:rsidR="00732D23">
              <w:t>risk of violence overnight given the circumstances. F</w:t>
            </w:r>
            <w:r w:rsidR="008E0CC6">
              <w:t>or example, f</w:t>
            </w:r>
            <w:r w:rsidR="00732D23">
              <w:t xml:space="preserve">amily disputes or other outside traumatic events can change someone's life in an </w:t>
            </w:r>
            <w:r w:rsidR="009325BE">
              <w:t>instant</w:t>
            </w:r>
            <w:r w:rsidR="00732D23">
              <w:t xml:space="preserve">, </w:t>
            </w:r>
            <w:r w:rsidR="009325BE">
              <w:t xml:space="preserve">placing </w:t>
            </w:r>
            <w:r w:rsidR="00732D23">
              <w:t xml:space="preserve">them in danger from people who may wish to cause them </w:t>
            </w:r>
            <w:r>
              <w:t xml:space="preserve">undue </w:t>
            </w:r>
            <w:r w:rsidR="00732D23">
              <w:t xml:space="preserve">harm. </w:t>
            </w:r>
            <w:r w:rsidR="009325BE">
              <w:t xml:space="preserve">There have been calls to provide further protections to Texans who feel their lives may be in danger </w:t>
            </w:r>
            <w:r w:rsidR="00732D23">
              <w:t>due to external circumstances.</w:t>
            </w:r>
            <w:r w:rsidR="009325BE">
              <w:t xml:space="preserve"> C.S.</w:t>
            </w:r>
            <w:r w:rsidR="00732D23">
              <w:t>H</w:t>
            </w:r>
            <w:r w:rsidR="009325BE">
              <w:t>.</w:t>
            </w:r>
            <w:r w:rsidR="00732D23">
              <w:t>B</w:t>
            </w:r>
            <w:r w:rsidR="009325BE">
              <w:t>.</w:t>
            </w:r>
            <w:r w:rsidR="00732D23">
              <w:t xml:space="preserve"> 2675 </w:t>
            </w:r>
            <w:r w:rsidR="009325BE">
              <w:t>seeks to address this issue by creating an at-risk designation for a handgun license</w:t>
            </w:r>
            <w:r>
              <w:t xml:space="preserve"> </w:t>
            </w:r>
            <w:r w:rsidR="00356809">
              <w:t>and providing for the</w:t>
            </w:r>
            <w:r>
              <w:t xml:space="preserve"> expedite</w:t>
            </w:r>
            <w:r w:rsidR="00356809">
              <w:t>d processing of an application for</w:t>
            </w:r>
            <w:r>
              <w:t xml:space="preserve"> </w:t>
            </w:r>
            <w:r w:rsidR="00356809">
              <w:t>a</w:t>
            </w:r>
            <w:r>
              <w:t xml:space="preserve"> license </w:t>
            </w:r>
            <w:r w:rsidR="00356809">
              <w:t>with that designation</w:t>
            </w:r>
            <w:r w:rsidR="00732D23">
              <w:t>.</w:t>
            </w:r>
          </w:p>
          <w:p w14:paraId="1713B82B" w14:textId="77777777" w:rsidR="008423E4" w:rsidRPr="00E26B13" w:rsidRDefault="008423E4" w:rsidP="007067C4">
            <w:pPr>
              <w:rPr>
                <w:b/>
              </w:rPr>
            </w:pPr>
          </w:p>
        </w:tc>
      </w:tr>
      <w:tr w:rsidR="00613C0B" w14:paraId="023372E2" w14:textId="77777777" w:rsidTr="00345119">
        <w:tc>
          <w:tcPr>
            <w:tcW w:w="9576" w:type="dxa"/>
          </w:tcPr>
          <w:p w14:paraId="3CAB8734" w14:textId="77777777" w:rsidR="0017725B" w:rsidRDefault="00B26D82" w:rsidP="007067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B6EB5E0" w14:textId="77777777" w:rsidR="0017725B" w:rsidRDefault="0017725B" w:rsidP="007067C4">
            <w:pPr>
              <w:rPr>
                <w:b/>
                <w:u w:val="single"/>
              </w:rPr>
            </w:pPr>
          </w:p>
          <w:p w14:paraId="01442001" w14:textId="77777777" w:rsidR="004B494C" w:rsidRPr="004B494C" w:rsidRDefault="00B26D82" w:rsidP="007067C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14:paraId="2D8C80BC" w14:textId="77777777" w:rsidR="0017725B" w:rsidRPr="0017725B" w:rsidRDefault="0017725B" w:rsidP="007067C4">
            <w:pPr>
              <w:rPr>
                <w:b/>
                <w:u w:val="single"/>
              </w:rPr>
            </w:pPr>
          </w:p>
        </w:tc>
      </w:tr>
      <w:tr w:rsidR="00613C0B" w14:paraId="47CB5AC6" w14:textId="77777777" w:rsidTr="00345119">
        <w:tc>
          <w:tcPr>
            <w:tcW w:w="9576" w:type="dxa"/>
          </w:tcPr>
          <w:p w14:paraId="0ACB0B21" w14:textId="77777777" w:rsidR="008423E4" w:rsidRPr="00A8133F" w:rsidRDefault="00B26D82" w:rsidP="007067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A76A39B" w14:textId="77777777" w:rsidR="008423E4" w:rsidRDefault="008423E4" w:rsidP="007067C4"/>
          <w:p w14:paraId="246F4363" w14:textId="4F1349F3" w:rsidR="004B494C" w:rsidRDefault="00B26D82" w:rsidP="007067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public safety director </w:t>
            </w:r>
            <w:r w:rsidR="008E0CC6">
              <w:t xml:space="preserve">of the Department of Public Safety </w:t>
            </w:r>
            <w:r>
              <w:t>in SECTION 3 of this bill.</w:t>
            </w:r>
          </w:p>
          <w:p w14:paraId="5B78E3E3" w14:textId="77777777" w:rsidR="008423E4" w:rsidRPr="00E21FDC" w:rsidRDefault="008423E4" w:rsidP="007067C4">
            <w:pPr>
              <w:rPr>
                <w:b/>
              </w:rPr>
            </w:pPr>
          </w:p>
        </w:tc>
      </w:tr>
      <w:tr w:rsidR="00613C0B" w14:paraId="43F9C2A5" w14:textId="77777777" w:rsidTr="00345119">
        <w:tc>
          <w:tcPr>
            <w:tcW w:w="9576" w:type="dxa"/>
          </w:tcPr>
          <w:p w14:paraId="5F663991" w14:textId="77777777" w:rsidR="008423E4" w:rsidRPr="00A8133F" w:rsidRDefault="00B26D82" w:rsidP="007067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FBB4F22" w14:textId="77777777" w:rsidR="008423E4" w:rsidRDefault="008423E4" w:rsidP="007067C4"/>
          <w:p w14:paraId="500C014B" w14:textId="0181883C" w:rsidR="00052C5F" w:rsidRDefault="00B26D82" w:rsidP="007067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F07AD">
              <w:t>H.B. 2675 amends the Government Code to provide for the establishment of an at-risk designation on a handgun license</w:t>
            </w:r>
            <w:r>
              <w:t xml:space="preserve"> </w:t>
            </w:r>
            <w:r w:rsidR="009A7967">
              <w:t>as</w:t>
            </w:r>
            <w:r>
              <w:t xml:space="preserve"> follow</w:t>
            </w:r>
            <w:r w:rsidR="009A7967">
              <w:t>s</w:t>
            </w:r>
            <w:r>
              <w:t>:</w:t>
            </w:r>
          </w:p>
          <w:p w14:paraId="71D8734D" w14:textId="77777777" w:rsidR="00052C5F" w:rsidRDefault="00B26D82" w:rsidP="007067C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6F07AD">
              <w:t>requires the Department of Public Safety (DPS) to develop a procedure</w:t>
            </w:r>
            <w:r w:rsidRPr="006F07AD">
              <w:t xml:space="preserve"> for persons who are at increased risk of becoming a victim of violence to obtain a handgun license on an expedited basis, if the person is not already a license holder, and to qualify for the designation</w:t>
            </w:r>
            <w:r>
              <w:t>;</w:t>
            </w:r>
          </w:p>
          <w:p w14:paraId="22FBBE0A" w14:textId="7362D834" w:rsidR="00052C5F" w:rsidRDefault="00B26D82" w:rsidP="007067C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provides for</w:t>
            </w:r>
            <w:r w:rsidR="006F07AD" w:rsidRPr="006F07AD">
              <w:t xml:space="preserve"> the eligibility for the designation</w:t>
            </w:r>
            <w:r w:rsidR="003F0721">
              <w:t>, which includes those protected under certain court orders and their family and household members and participants in the attorney general's address confidentiality program</w:t>
            </w:r>
            <w:r>
              <w:t>;</w:t>
            </w:r>
          </w:p>
          <w:p w14:paraId="0B3A6698" w14:textId="320D2C3E" w:rsidR="00052C5F" w:rsidRDefault="00B26D82" w:rsidP="007067C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6F07AD">
              <w:t xml:space="preserve"> authorizes the public safety director of DPS to adopt rules to accept alternative </w:t>
            </w:r>
            <w:r w:rsidRPr="006F07AD">
              <w:t xml:space="preserve">documentation </w:t>
            </w:r>
            <w:r>
              <w:t xml:space="preserve">to the court orders </w:t>
            </w:r>
            <w:r w:rsidRPr="006F07AD">
              <w:t>that shows that the person is at increased risk of becoming a victim of violence</w:t>
            </w:r>
            <w:r w:rsidR="009A7967">
              <w:t>; and</w:t>
            </w:r>
          </w:p>
          <w:p w14:paraId="57AD4938" w14:textId="6EC68A95" w:rsidR="009A7967" w:rsidRDefault="00B26D82" w:rsidP="007067C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6F07AD">
              <w:t>authorizes a person to receive the designation if the</w:t>
            </w:r>
            <w:r w:rsidR="00052C5F">
              <w:t>y</w:t>
            </w:r>
            <w:r w:rsidRPr="006F07AD">
              <w:t xml:space="preserve"> submit</w:t>
            </w:r>
            <w:r w:rsidR="00052C5F">
              <w:t xml:space="preserve"> an application </w:t>
            </w:r>
            <w:r>
              <w:t>for the designation,</w:t>
            </w:r>
            <w:r w:rsidR="00052C5F">
              <w:t xml:space="preserve"> evidence of th</w:t>
            </w:r>
            <w:r>
              <w:t>at</w:t>
            </w:r>
            <w:r w:rsidR="00052C5F">
              <w:t xml:space="preserve"> increased risk</w:t>
            </w:r>
            <w:r>
              <w:t>, and a</w:t>
            </w:r>
            <w:r>
              <w:t xml:space="preserve">ny other information DPS may require </w:t>
            </w:r>
            <w:r w:rsidRPr="006F07AD">
              <w:t>to DPS</w:t>
            </w:r>
            <w:r>
              <w:t xml:space="preserve"> in the form and manner provided by DPS.</w:t>
            </w:r>
          </w:p>
          <w:p w14:paraId="7FD7B4EC" w14:textId="03EDA239" w:rsidR="009C36CD" w:rsidRDefault="00B26D82" w:rsidP="007067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6F07AD" w:rsidRPr="006F07AD">
              <w:t>authorizes a license holder to apply for the designation by making an application for a duplicate license and authorizes a person who is not a license holder to apply for the designation with the person's application for an original license to carry a handgun.</w:t>
            </w:r>
          </w:p>
          <w:p w14:paraId="1144BF64" w14:textId="77777777" w:rsidR="006F07AD" w:rsidRDefault="006F07AD" w:rsidP="007067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2D0FC76" w14:textId="1D7E4C05" w:rsidR="00ED75DE" w:rsidRDefault="00B26D82" w:rsidP="007067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F07AD">
              <w:t xml:space="preserve">H.B. 2675 </w:t>
            </w:r>
            <w:r w:rsidR="006F07AD" w:rsidRPr="006F07AD">
              <w:t xml:space="preserve">requires a person with the at-risk designation to certify annually that the person continues to qualify for the designation and to submit to DPS any information </w:t>
            </w:r>
            <w:r w:rsidRPr="00C219CC">
              <w:t>it</w:t>
            </w:r>
            <w:r>
              <w:t xml:space="preserve"> </w:t>
            </w:r>
            <w:r w:rsidR="006F07AD" w:rsidRPr="006F07AD">
              <w:t xml:space="preserve">requires to verify </w:t>
            </w:r>
            <w:r w:rsidR="009A7967" w:rsidRPr="006F07AD">
              <w:t>th</w:t>
            </w:r>
            <w:r w:rsidR="009A7967">
              <w:t>at</w:t>
            </w:r>
            <w:r w:rsidR="006F07AD" w:rsidRPr="006F07AD">
              <w:t xml:space="preserve"> continuing eligibility.</w:t>
            </w:r>
            <w:r w:rsidR="00FF2E1D">
              <w:t xml:space="preserve"> </w:t>
            </w:r>
            <w:r w:rsidR="00FF2E1D" w:rsidRPr="00FF2E1D">
              <w:t>The bill requires a person who no longer qualifies for the designation to notify DPS immediately</w:t>
            </w:r>
            <w:r w:rsidR="009A7967">
              <w:t xml:space="preserve"> and</w:t>
            </w:r>
            <w:r w:rsidR="00FF2E1D" w:rsidRPr="00FF2E1D">
              <w:t xml:space="preserve"> requires DPS to notify a person </w:t>
            </w:r>
            <w:r>
              <w:t>who it</w:t>
            </w:r>
            <w:r w:rsidRPr="00FF2E1D">
              <w:t xml:space="preserve"> </w:t>
            </w:r>
            <w:r w:rsidR="00FF2E1D" w:rsidRPr="00FF2E1D">
              <w:t>determines</w:t>
            </w:r>
            <w:r>
              <w:t xml:space="preserve"> based on the information it receives</w:t>
            </w:r>
            <w:r w:rsidR="00FF2E1D" w:rsidRPr="00FF2E1D">
              <w:t xml:space="preserve"> is no longer eligible for the designation and to issue to the person a duplicate license without the designation.</w:t>
            </w:r>
            <w:r w:rsidR="00FF2E1D">
              <w:t xml:space="preserve"> </w:t>
            </w:r>
            <w:r w:rsidR="00FF2E1D" w:rsidRPr="00FF2E1D">
              <w:t xml:space="preserve">The bill requires the license holder, on receipt of a duplicate license without the designation, to return the license with the designation to DPS. </w:t>
            </w:r>
          </w:p>
          <w:p w14:paraId="7CCC23F5" w14:textId="77777777" w:rsidR="00ED75DE" w:rsidRDefault="00ED75DE" w:rsidP="007067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56F2A56" w14:textId="11371417" w:rsidR="006F07AD" w:rsidRDefault="00B26D82" w:rsidP="007067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2675 </w:t>
            </w:r>
            <w:r w:rsidR="00FF2E1D" w:rsidRPr="00FF2E1D">
              <w:t>prohibits DPS from charging a fee for issuing a duplicate license with the designation or for issuing a duplicate license without the designation if the person no longer qualifies for the designation.</w:t>
            </w:r>
            <w:r w:rsidR="00FF2E1D">
              <w:t xml:space="preserve"> </w:t>
            </w:r>
            <w:r w:rsidR="00FF2E1D" w:rsidRPr="00FF2E1D">
              <w:t xml:space="preserve">If a person applies for a designation at the same time the person applies for an original license, </w:t>
            </w:r>
            <w:r w:rsidR="00FF2E1D">
              <w:t>DPS</w:t>
            </w:r>
            <w:r w:rsidR="00FF2E1D" w:rsidRPr="00FF2E1D">
              <w:t xml:space="preserve"> may charge only the licensing fee.</w:t>
            </w:r>
            <w:r w:rsidR="00FF2E1D">
              <w:t xml:space="preserve"> </w:t>
            </w:r>
            <w:r w:rsidR="00FF2E1D" w:rsidRPr="00FF2E1D">
              <w:t>The bill requires the director to adopt the rules necessary to implement the at-risk designation provisions not later than December 1, 20</w:t>
            </w:r>
            <w:r w:rsidR="00FF2E1D">
              <w:t>21</w:t>
            </w:r>
            <w:r w:rsidR="00FF2E1D" w:rsidRPr="00FF2E1D">
              <w:t>.</w:t>
            </w:r>
          </w:p>
          <w:p w14:paraId="64B7D1E6" w14:textId="77777777" w:rsidR="00FF2E1D" w:rsidRDefault="00FF2E1D" w:rsidP="007067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29BB4E5" w14:textId="49DE7D57" w:rsidR="009A6411" w:rsidRPr="009C36CD" w:rsidRDefault="00B26D82" w:rsidP="007067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F2E1D">
              <w:t xml:space="preserve">H.B. 2675 </w:t>
            </w:r>
            <w:r w:rsidR="00FF2E1D" w:rsidRPr="00FF2E1D">
              <w:t xml:space="preserve">requires DPS to expedite the handgun license application for an applicant who submits an application for the at-risk designation </w:t>
            </w:r>
            <w:r w:rsidR="00ED75DE" w:rsidRPr="00FF2E1D">
              <w:t xml:space="preserve">with their completed application materials </w:t>
            </w:r>
            <w:r w:rsidR="00FF2E1D" w:rsidRPr="00FF2E1D">
              <w:t xml:space="preserve">without charging an additional fee and sets out provisions relating to </w:t>
            </w:r>
            <w:r w:rsidR="00723142" w:rsidRPr="00FF2E1D">
              <w:t>th</w:t>
            </w:r>
            <w:r w:rsidR="00723142">
              <w:t>at</w:t>
            </w:r>
            <w:r w:rsidR="00723142" w:rsidRPr="00FF2E1D">
              <w:t xml:space="preserve"> </w:t>
            </w:r>
            <w:r w:rsidR="00FF2E1D" w:rsidRPr="00FF2E1D">
              <w:t>expedit</w:t>
            </w:r>
            <w:r w:rsidR="005A2A96">
              <w:t>ed</w:t>
            </w:r>
            <w:r w:rsidR="00FF2E1D" w:rsidRPr="00FF2E1D">
              <w:t xml:space="preserve"> process.</w:t>
            </w:r>
            <w:r w:rsidR="00FF2E1D">
              <w:t xml:space="preserve"> </w:t>
            </w:r>
            <w:r w:rsidR="00FF2E1D" w:rsidRPr="00FF2E1D">
              <w:t>The bill requires the director to adopt policies for the expedited processing and specifies that the failure of DPS to issue or deny a license for a period of more than 30 days after being required to act constitutes denial, regardless of whether the applicant was eligible for expedited processing on the basis of seeking the at-risk designation.</w:t>
            </w:r>
            <w:r w:rsidR="00FF2E1D">
              <w:t xml:space="preserve"> </w:t>
            </w:r>
            <w:r w:rsidR="00FF2E1D" w:rsidRPr="00FF2E1D">
              <w:t>These provisions apply only to a</w:t>
            </w:r>
            <w:r w:rsidR="00220C12">
              <w:t xml:space="preserve"> license</w:t>
            </w:r>
            <w:r w:rsidR="00FF2E1D" w:rsidRPr="00FF2E1D">
              <w:t xml:space="preserve"> application for which the completed application materials are received by DPS on or after January 1, 202</w:t>
            </w:r>
            <w:r w:rsidR="00FF2E1D">
              <w:t>2</w:t>
            </w:r>
            <w:r w:rsidR="00220C12">
              <w:t>. The bill</w:t>
            </w:r>
            <w:r w:rsidR="00FF2E1D" w:rsidRPr="00FF2E1D">
              <w:t xml:space="preserve"> prohibit</w:t>
            </w:r>
            <w:r w:rsidR="00220C12">
              <w:t>s</w:t>
            </w:r>
            <w:r w:rsidR="00FF2E1D" w:rsidRPr="00FF2E1D">
              <w:t xml:space="preserve"> DPS from accepting an application for or granting an at-risk designation before that date</w:t>
            </w:r>
            <w:r w:rsidRPr="009A6411">
              <w:t>.</w:t>
            </w:r>
          </w:p>
          <w:p w14:paraId="2A777615" w14:textId="77777777" w:rsidR="008423E4" w:rsidRPr="00835628" w:rsidRDefault="008423E4" w:rsidP="007067C4">
            <w:pPr>
              <w:rPr>
                <w:b/>
              </w:rPr>
            </w:pPr>
          </w:p>
        </w:tc>
      </w:tr>
      <w:tr w:rsidR="00613C0B" w14:paraId="7DC2D2DF" w14:textId="77777777" w:rsidTr="00345119">
        <w:tc>
          <w:tcPr>
            <w:tcW w:w="9576" w:type="dxa"/>
          </w:tcPr>
          <w:p w14:paraId="5FAD1B91" w14:textId="77777777" w:rsidR="008423E4" w:rsidRPr="00A8133F" w:rsidRDefault="00B26D82" w:rsidP="007067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F076B89" w14:textId="77777777" w:rsidR="008423E4" w:rsidRDefault="008423E4" w:rsidP="007067C4"/>
          <w:p w14:paraId="2AB522CA" w14:textId="77777777" w:rsidR="008423E4" w:rsidRPr="003624F2" w:rsidRDefault="00B26D82" w:rsidP="007067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20465D2" w14:textId="77777777" w:rsidR="008423E4" w:rsidRPr="00233FDB" w:rsidRDefault="008423E4" w:rsidP="007067C4">
            <w:pPr>
              <w:rPr>
                <w:b/>
              </w:rPr>
            </w:pPr>
          </w:p>
        </w:tc>
      </w:tr>
      <w:tr w:rsidR="00613C0B" w14:paraId="777CFF78" w14:textId="77777777" w:rsidTr="00345119">
        <w:tc>
          <w:tcPr>
            <w:tcW w:w="9576" w:type="dxa"/>
          </w:tcPr>
          <w:p w14:paraId="3A940DA2" w14:textId="77777777" w:rsidR="0015101D" w:rsidRDefault="00B26D82" w:rsidP="007067C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AFAE20D" w14:textId="77777777" w:rsidR="00732D23" w:rsidRDefault="00732D23" w:rsidP="007067C4">
            <w:pPr>
              <w:jc w:val="both"/>
            </w:pPr>
          </w:p>
          <w:p w14:paraId="55F3A741" w14:textId="29B5C631" w:rsidR="00732D23" w:rsidRDefault="00B26D82" w:rsidP="007067C4">
            <w:pPr>
              <w:jc w:val="both"/>
            </w:pPr>
            <w:r>
              <w:t xml:space="preserve">While C.S.H.B. </w:t>
            </w:r>
            <w:r w:rsidR="005430AD">
              <w:t>2675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18FF4931" w14:textId="0EB18F24" w:rsidR="004D351B" w:rsidRDefault="004D351B" w:rsidP="007067C4">
            <w:pPr>
              <w:jc w:val="both"/>
            </w:pPr>
          </w:p>
          <w:p w14:paraId="4CCD0915" w14:textId="4D2E7FE9" w:rsidR="004D351B" w:rsidRDefault="00B26D82" w:rsidP="007067C4">
            <w:pPr>
              <w:jc w:val="both"/>
            </w:pPr>
            <w:r>
              <w:t xml:space="preserve">The substitute does not </w:t>
            </w:r>
            <w:r w:rsidR="00B8268F">
              <w:t xml:space="preserve">include the following provisions amending the </w:t>
            </w:r>
            <w:r w:rsidR="009325BE">
              <w:t>Penal Code</w:t>
            </w:r>
            <w:r>
              <w:t>, which were present in the original:</w:t>
            </w:r>
          </w:p>
          <w:p w14:paraId="1972B9DD" w14:textId="1790E093" w:rsidR="004D351B" w:rsidRDefault="00B26D82" w:rsidP="007067C4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 xml:space="preserve">a provision establishing a defense to prosecution for </w:t>
            </w:r>
            <w:r w:rsidR="00B8268F">
              <w:t xml:space="preserve">the </w:t>
            </w:r>
            <w:r>
              <w:t>unlawful carrying of a handgun by a handgun license holder</w:t>
            </w:r>
            <w:r w:rsidR="00B8268F">
              <w:t xml:space="preserve"> on certain premises</w:t>
            </w:r>
            <w:r>
              <w:t>;</w:t>
            </w:r>
          </w:p>
          <w:p w14:paraId="54B879FE" w14:textId="607DA8C4" w:rsidR="004D351B" w:rsidRDefault="00B26D82" w:rsidP="007067C4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</w:t>
            </w:r>
            <w:r w:rsidR="00B8268F">
              <w:t xml:space="preserve"> provision</w:t>
            </w:r>
            <w:r>
              <w:t xml:space="preserve"> exemptin</w:t>
            </w:r>
            <w:r w:rsidR="00B8268F">
              <w:t>g</w:t>
            </w:r>
            <w:r>
              <w:t xml:space="preserve"> a person who is carrying a handgun and holds a </w:t>
            </w:r>
            <w:r>
              <w:t xml:space="preserve">license </w:t>
            </w:r>
            <w:r w:rsidR="00B8268F">
              <w:t>with</w:t>
            </w:r>
            <w:r>
              <w:t xml:space="preserve"> an at-risk designation from the application of the offenses </w:t>
            </w:r>
            <w:r w:rsidR="009325BE">
              <w:t>for</w:t>
            </w:r>
            <w:r>
              <w:t xml:space="preserve"> the unlawful carrying of a weapon and possessing or going with a weapon in a place where weapons are prohibited; and</w:t>
            </w:r>
          </w:p>
          <w:p w14:paraId="34017757" w14:textId="0308882A" w:rsidR="00F830E3" w:rsidRDefault="00B26D82" w:rsidP="007067C4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procedural provisions applicable to these Penal Code amendment</w:t>
            </w:r>
            <w:r>
              <w:t>s.</w:t>
            </w:r>
          </w:p>
          <w:p w14:paraId="4524454B" w14:textId="664AB121" w:rsidR="004D351B" w:rsidRDefault="004D351B" w:rsidP="007067C4">
            <w:pPr>
              <w:jc w:val="both"/>
            </w:pPr>
          </w:p>
          <w:p w14:paraId="493E562E" w14:textId="205E282F" w:rsidR="00732D23" w:rsidRPr="00732D23" w:rsidRDefault="00732D23" w:rsidP="007067C4">
            <w:pPr>
              <w:jc w:val="both"/>
            </w:pPr>
          </w:p>
        </w:tc>
      </w:tr>
      <w:tr w:rsidR="00613C0B" w14:paraId="4C6FC29F" w14:textId="77777777" w:rsidTr="00345119">
        <w:tc>
          <w:tcPr>
            <w:tcW w:w="9576" w:type="dxa"/>
          </w:tcPr>
          <w:p w14:paraId="3C455F8F" w14:textId="77777777" w:rsidR="0015101D" w:rsidRPr="009C1E9A" w:rsidRDefault="0015101D" w:rsidP="007067C4">
            <w:pPr>
              <w:rPr>
                <w:b/>
                <w:u w:val="single"/>
              </w:rPr>
            </w:pPr>
          </w:p>
        </w:tc>
      </w:tr>
      <w:tr w:rsidR="00613C0B" w14:paraId="6803855B" w14:textId="77777777" w:rsidTr="00345119">
        <w:tc>
          <w:tcPr>
            <w:tcW w:w="9576" w:type="dxa"/>
          </w:tcPr>
          <w:p w14:paraId="629E2522" w14:textId="77777777" w:rsidR="0015101D" w:rsidRPr="0015101D" w:rsidRDefault="0015101D" w:rsidP="007067C4">
            <w:pPr>
              <w:jc w:val="both"/>
            </w:pPr>
          </w:p>
        </w:tc>
      </w:tr>
    </w:tbl>
    <w:p w14:paraId="3620ADF3" w14:textId="77777777" w:rsidR="008423E4" w:rsidRPr="00BE0E75" w:rsidRDefault="008423E4" w:rsidP="007067C4">
      <w:pPr>
        <w:jc w:val="both"/>
        <w:rPr>
          <w:rFonts w:ascii="Arial" w:hAnsi="Arial"/>
          <w:sz w:val="16"/>
          <w:szCs w:val="16"/>
        </w:rPr>
      </w:pPr>
    </w:p>
    <w:p w14:paraId="1EBE1447" w14:textId="77777777" w:rsidR="004108C3" w:rsidRPr="008423E4" w:rsidRDefault="004108C3" w:rsidP="007067C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26303" w14:textId="77777777" w:rsidR="00000000" w:rsidRDefault="00B26D82">
      <w:r>
        <w:separator/>
      </w:r>
    </w:p>
  </w:endnote>
  <w:endnote w:type="continuationSeparator" w:id="0">
    <w:p w14:paraId="061D3E97" w14:textId="77777777" w:rsidR="00000000" w:rsidRDefault="00B2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416E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3C0B" w14:paraId="673ED742" w14:textId="77777777" w:rsidTr="009C1E9A">
      <w:trPr>
        <w:cantSplit/>
      </w:trPr>
      <w:tc>
        <w:tcPr>
          <w:tcW w:w="0" w:type="pct"/>
        </w:tcPr>
        <w:p w14:paraId="1BC18E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84691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BF7D3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3401F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83D6B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3C0B" w14:paraId="5BA9973D" w14:textId="77777777" w:rsidTr="009C1E9A">
      <w:trPr>
        <w:cantSplit/>
      </w:trPr>
      <w:tc>
        <w:tcPr>
          <w:tcW w:w="0" w:type="pct"/>
        </w:tcPr>
        <w:p w14:paraId="70D4ED5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A2382A" w14:textId="233DB522" w:rsidR="00EC379B" w:rsidRPr="009C1E9A" w:rsidRDefault="00B26D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22236</w:t>
          </w:r>
        </w:p>
      </w:tc>
      <w:tc>
        <w:tcPr>
          <w:tcW w:w="2453" w:type="pct"/>
        </w:tcPr>
        <w:p w14:paraId="71516C03" w14:textId="349EFA60" w:rsidR="00EC379B" w:rsidRDefault="00B26D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53906">
            <w:t>21.115.881</w:t>
          </w:r>
          <w:r>
            <w:fldChar w:fldCharType="end"/>
          </w:r>
        </w:p>
      </w:tc>
    </w:tr>
    <w:tr w:rsidR="00613C0B" w14:paraId="4B301B35" w14:textId="77777777" w:rsidTr="009C1E9A">
      <w:trPr>
        <w:cantSplit/>
      </w:trPr>
      <w:tc>
        <w:tcPr>
          <w:tcW w:w="0" w:type="pct"/>
        </w:tcPr>
        <w:p w14:paraId="141BEB9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E29869A" w14:textId="6A1C715B" w:rsidR="00EC379B" w:rsidRPr="009C1E9A" w:rsidRDefault="00B26D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20348</w:t>
          </w:r>
        </w:p>
      </w:tc>
      <w:tc>
        <w:tcPr>
          <w:tcW w:w="2453" w:type="pct"/>
        </w:tcPr>
        <w:p w14:paraId="6A1D82C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2E2A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3C0B" w14:paraId="4F5F7F5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F90AACE" w14:textId="7113C724" w:rsidR="00EC379B" w:rsidRDefault="00B26D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067C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BF55F8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DA4DB4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DB3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D730" w14:textId="77777777" w:rsidR="00000000" w:rsidRDefault="00B26D82">
      <w:r>
        <w:separator/>
      </w:r>
    </w:p>
  </w:footnote>
  <w:footnote w:type="continuationSeparator" w:id="0">
    <w:p w14:paraId="3E4A69F7" w14:textId="77777777" w:rsidR="00000000" w:rsidRDefault="00B2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C01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FC7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855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25E"/>
    <w:multiLevelType w:val="hybridMultilevel"/>
    <w:tmpl w:val="6B38AE1C"/>
    <w:lvl w:ilvl="0" w:tplc="28B87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8C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26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82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22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02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48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83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62E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4813"/>
    <w:multiLevelType w:val="hybridMultilevel"/>
    <w:tmpl w:val="AC64E698"/>
    <w:lvl w:ilvl="0" w:tplc="63CA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A2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45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64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89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82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E6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2F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8D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8020B"/>
    <w:multiLevelType w:val="hybridMultilevel"/>
    <w:tmpl w:val="1234BD70"/>
    <w:lvl w:ilvl="0" w:tplc="F1F62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6E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2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68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5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8E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CC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24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A6C7A"/>
    <w:multiLevelType w:val="hybridMultilevel"/>
    <w:tmpl w:val="B366BE6E"/>
    <w:lvl w:ilvl="0" w:tplc="78A03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F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CE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48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8D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04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43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44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ED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3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2C5F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01D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0C12"/>
    <w:rsid w:val="0022177D"/>
    <w:rsid w:val="00221F72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09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721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494C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51B"/>
    <w:rsid w:val="004D3F41"/>
    <w:rsid w:val="004D5098"/>
    <w:rsid w:val="004D6497"/>
    <w:rsid w:val="004D7662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0AD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A96"/>
    <w:rsid w:val="005A3790"/>
    <w:rsid w:val="005A3CCB"/>
    <w:rsid w:val="005A6D13"/>
    <w:rsid w:val="005B031F"/>
    <w:rsid w:val="005B3298"/>
    <w:rsid w:val="005B5516"/>
    <w:rsid w:val="005B5D2B"/>
    <w:rsid w:val="005B6F86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C0B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6B7"/>
    <w:rsid w:val="006E45B0"/>
    <w:rsid w:val="006E5692"/>
    <w:rsid w:val="006F07AD"/>
    <w:rsid w:val="006F365D"/>
    <w:rsid w:val="006F4BB0"/>
    <w:rsid w:val="007031BD"/>
    <w:rsid w:val="00703E80"/>
    <w:rsid w:val="00705276"/>
    <w:rsid w:val="007066A0"/>
    <w:rsid w:val="007067C4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142"/>
    <w:rsid w:val="00723326"/>
    <w:rsid w:val="00724252"/>
    <w:rsid w:val="00727E7A"/>
    <w:rsid w:val="0073163C"/>
    <w:rsid w:val="00731DE3"/>
    <w:rsid w:val="00732D2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3F2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57E39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0BC1"/>
    <w:rsid w:val="008D27A5"/>
    <w:rsid w:val="008D2AAB"/>
    <w:rsid w:val="008D309C"/>
    <w:rsid w:val="008D58F9"/>
    <w:rsid w:val="008E0CC6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5BE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A8B"/>
    <w:rsid w:val="00987F00"/>
    <w:rsid w:val="0099403D"/>
    <w:rsid w:val="00995B0B"/>
    <w:rsid w:val="009A1883"/>
    <w:rsid w:val="009A39F5"/>
    <w:rsid w:val="009A4588"/>
    <w:rsid w:val="009A5EA5"/>
    <w:rsid w:val="009A6411"/>
    <w:rsid w:val="009A7967"/>
    <w:rsid w:val="009B00C2"/>
    <w:rsid w:val="009B2541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3906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A84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2DC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E30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06C0"/>
    <w:rsid w:val="00B233BB"/>
    <w:rsid w:val="00B25612"/>
    <w:rsid w:val="00B26437"/>
    <w:rsid w:val="00B2678E"/>
    <w:rsid w:val="00B26D82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68F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9CC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434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5DE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6F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61AA"/>
    <w:rsid w:val="00F7758F"/>
    <w:rsid w:val="00F82811"/>
    <w:rsid w:val="00F830E3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E1D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E157B3-206D-49C7-9396-B0D3F35F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07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0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07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07AD"/>
    <w:rPr>
      <w:b/>
      <w:bCs/>
    </w:rPr>
  </w:style>
  <w:style w:type="paragraph" w:styleId="ListParagraph">
    <w:name w:val="List Paragraph"/>
    <w:basedOn w:val="Normal"/>
    <w:uiPriority w:val="34"/>
    <w:qFormat/>
    <w:rsid w:val="004D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4669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HB02675 (Committee Report (Substituted))</vt:lpstr>
    </vt:vector>
  </TitlesOfParts>
  <Company>State of Texas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22236</dc:subject>
  <dc:creator>State of Texas</dc:creator>
  <dc:description>HB 2675 by Guillen-(H)Homeland Security &amp; Public Safety (Substitute Document Number: 87R 20348)</dc:description>
  <cp:lastModifiedBy>Stacey Nicchio</cp:lastModifiedBy>
  <cp:revision>2</cp:revision>
  <cp:lastPrinted>2003-11-26T17:21:00Z</cp:lastPrinted>
  <dcterms:created xsi:type="dcterms:W3CDTF">2021-04-26T23:15:00Z</dcterms:created>
  <dcterms:modified xsi:type="dcterms:W3CDTF">2021-04-26T23:15:00Z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21.115.881</vt:lpwstr>
  </property>
</Properties>
</file>