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731C" w14:paraId="2680C91C" w14:textId="77777777" w:rsidTr="00345119">
        <w:tc>
          <w:tcPr>
            <w:tcW w:w="9576" w:type="dxa"/>
            <w:noWrap/>
          </w:tcPr>
          <w:p w14:paraId="1E33062E" w14:textId="77777777" w:rsidR="008423E4" w:rsidRPr="0022177D" w:rsidRDefault="00AB24F0" w:rsidP="0017339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B00C11" w14:textId="77777777" w:rsidR="008423E4" w:rsidRPr="0022177D" w:rsidRDefault="008423E4" w:rsidP="0017339A">
      <w:pPr>
        <w:jc w:val="center"/>
      </w:pPr>
    </w:p>
    <w:p w14:paraId="3DCBBA4C" w14:textId="77777777" w:rsidR="008423E4" w:rsidRPr="00B31F0E" w:rsidRDefault="008423E4" w:rsidP="0017339A"/>
    <w:p w14:paraId="4BB6D272" w14:textId="77777777" w:rsidR="008423E4" w:rsidRPr="00742794" w:rsidRDefault="008423E4" w:rsidP="0017339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731C" w14:paraId="0052E0CC" w14:textId="77777777" w:rsidTr="00345119">
        <w:tc>
          <w:tcPr>
            <w:tcW w:w="9576" w:type="dxa"/>
          </w:tcPr>
          <w:p w14:paraId="3FB43B47" w14:textId="4FBF4660" w:rsidR="008423E4" w:rsidRPr="00861995" w:rsidRDefault="00AB24F0" w:rsidP="0017339A">
            <w:pPr>
              <w:jc w:val="right"/>
            </w:pPr>
            <w:r>
              <w:t>C.S.H.B. 2700</w:t>
            </w:r>
          </w:p>
        </w:tc>
      </w:tr>
      <w:tr w:rsidR="0063731C" w14:paraId="770C9758" w14:textId="77777777" w:rsidTr="00345119">
        <w:tc>
          <w:tcPr>
            <w:tcW w:w="9576" w:type="dxa"/>
          </w:tcPr>
          <w:p w14:paraId="0686A8F6" w14:textId="18F4CCE5" w:rsidR="008423E4" w:rsidRPr="00861995" w:rsidRDefault="00AB24F0" w:rsidP="0017339A">
            <w:pPr>
              <w:jc w:val="right"/>
            </w:pPr>
            <w:r>
              <w:t xml:space="preserve">By: </w:t>
            </w:r>
            <w:r w:rsidR="00D97ED2">
              <w:t>Martinez</w:t>
            </w:r>
          </w:p>
        </w:tc>
      </w:tr>
      <w:tr w:rsidR="0063731C" w14:paraId="415F1DF5" w14:textId="77777777" w:rsidTr="00345119">
        <w:tc>
          <w:tcPr>
            <w:tcW w:w="9576" w:type="dxa"/>
          </w:tcPr>
          <w:p w14:paraId="3916F91A" w14:textId="5FB30339" w:rsidR="008423E4" w:rsidRPr="00861995" w:rsidRDefault="00AB24F0" w:rsidP="0017339A">
            <w:pPr>
              <w:jc w:val="right"/>
            </w:pPr>
            <w:r>
              <w:t>Transportation</w:t>
            </w:r>
          </w:p>
        </w:tc>
      </w:tr>
      <w:tr w:rsidR="0063731C" w14:paraId="04AE3BC7" w14:textId="77777777" w:rsidTr="00345119">
        <w:tc>
          <w:tcPr>
            <w:tcW w:w="9576" w:type="dxa"/>
          </w:tcPr>
          <w:p w14:paraId="790D0CBA" w14:textId="440084F1" w:rsidR="008423E4" w:rsidRDefault="00AB24F0" w:rsidP="0017339A">
            <w:pPr>
              <w:jc w:val="right"/>
            </w:pPr>
            <w:r>
              <w:t>Committee Report (Substituted)</w:t>
            </w:r>
          </w:p>
        </w:tc>
      </w:tr>
    </w:tbl>
    <w:p w14:paraId="2B37ECAE" w14:textId="77777777" w:rsidR="008423E4" w:rsidRPr="0017339A" w:rsidRDefault="008423E4" w:rsidP="0017339A">
      <w:pPr>
        <w:tabs>
          <w:tab w:val="right" w:pos="9360"/>
        </w:tabs>
        <w:rPr>
          <w:sz w:val="22"/>
        </w:rPr>
      </w:pPr>
    </w:p>
    <w:p w14:paraId="1B7F8935" w14:textId="77777777" w:rsidR="008423E4" w:rsidRPr="0017339A" w:rsidRDefault="008423E4" w:rsidP="0017339A">
      <w:pPr>
        <w:rPr>
          <w:sz w:val="22"/>
        </w:rPr>
      </w:pPr>
    </w:p>
    <w:p w14:paraId="06BF805D" w14:textId="77777777" w:rsidR="008423E4" w:rsidRPr="0017339A" w:rsidRDefault="008423E4" w:rsidP="0017339A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731C" w14:paraId="5D3982C3" w14:textId="77777777" w:rsidTr="00345119">
        <w:tc>
          <w:tcPr>
            <w:tcW w:w="9576" w:type="dxa"/>
          </w:tcPr>
          <w:p w14:paraId="7BAC158C" w14:textId="77777777" w:rsidR="008423E4" w:rsidRPr="00A8133F" w:rsidRDefault="00AB24F0" w:rsidP="001733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C38AAE" w14:textId="77777777" w:rsidR="008423E4" w:rsidRDefault="008423E4" w:rsidP="0017339A"/>
          <w:p w14:paraId="4FAC0190" w14:textId="142BB24F" w:rsidR="008423E4" w:rsidRDefault="00AB24F0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 piece of land within the </w:t>
            </w:r>
            <w:r w:rsidR="000E0015">
              <w:t>C</w:t>
            </w:r>
            <w:r>
              <w:t>ity of Donna that was acquired by</w:t>
            </w:r>
            <w:r w:rsidR="00676DDD" w:rsidRPr="00676DDD">
              <w:t xml:space="preserve"> the Texas Department of Transportation </w:t>
            </w:r>
            <w:r>
              <w:t xml:space="preserve">(TxDOT) does not receive sufficient routine </w:t>
            </w:r>
            <w:r w:rsidR="00676DDD" w:rsidRPr="00676DDD">
              <w:t>maintenance</w:t>
            </w:r>
            <w:r>
              <w:t>, which is</w:t>
            </w:r>
            <w:r w:rsidR="00676DDD" w:rsidRPr="00676DDD">
              <w:t xml:space="preserve"> </w:t>
            </w:r>
            <w:r w:rsidRPr="00676DDD">
              <w:t>caus</w:t>
            </w:r>
            <w:r>
              <w:t>ing the land</w:t>
            </w:r>
            <w:r w:rsidR="00676DDD" w:rsidRPr="00676DDD">
              <w:t xml:space="preserve"> to deteriorate</w:t>
            </w:r>
            <w:r>
              <w:t xml:space="preserve">, </w:t>
            </w:r>
            <w:r w:rsidR="00792434">
              <w:t xml:space="preserve">to </w:t>
            </w:r>
            <w:r w:rsidR="00676DDD" w:rsidRPr="00676DDD">
              <w:t>serve as a breeding ground for pests</w:t>
            </w:r>
            <w:r>
              <w:t>,</w:t>
            </w:r>
            <w:r w:rsidR="00676DDD" w:rsidRPr="00676DDD">
              <w:t xml:space="preserve"> and </w:t>
            </w:r>
            <w:r w:rsidR="00792434">
              <w:t xml:space="preserve">to become </w:t>
            </w:r>
            <w:r w:rsidR="00676DDD" w:rsidRPr="00676DDD">
              <w:t xml:space="preserve">an eyesore to the Donna community. </w:t>
            </w:r>
            <w:r w:rsidR="007C29B1">
              <w:t>T</w:t>
            </w:r>
            <w:r w:rsidR="00676DDD" w:rsidRPr="00676DDD">
              <w:t xml:space="preserve">he City of Donna </w:t>
            </w:r>
            <w:r w:rsidR="007C29B1">
              <w:t>has called for</w:t>
            </w:r>
            <w:r w:rsidR="00676DDD" w:rsidRPr="00676DDD">
              <w:t xml:space="preserve"> the ability to maintain the property located within their jurisdiction and </w:t>
            </w:r>
            <w:r w:rsidR="007C29B1">
              <w:t xml:space="preserve">to </w:t>
            </w:r>
            <w:r w:rsidR="00676DDD" w:rsidRPr="00676DDD">
              <w:t>be financially compensated by TxD</w:t>
            </w:r>
            <w:r w:rsidR="007C29B1">
              <w:t>OT</w:t>
            </w:r>
            <w:r w:rsidR="00676DDD" w:rsidRPr="00676DDD">
              <w:t xml:space="preserve"> </w:t>
            </w:r>
            <w:r w:rsidR="007C29B1">
              <w:t>in</w:t>
            </w:r>
            <w:r w:rsidR="00676DDD" w:rsidRPr="00676DDD">
              <w:t xml:space="preserve"> the amount </w:t>
            </w:r>
            <w:r w:rsidR="007C29B1">
              <w:t>TxDOT</w:t>
            </w:r>
            <w:r w:rsidR="00676DDD" w:rsidRPr="00676DDD">
              <w:t xml:space="preserve"> would </w:t>
            </w:r>
            <w:r w:rsidR="007C29B1">
              <w:t xml:space="preserve">otherwise </w:t>
            </w:r>
            <w:r w:rsidR="00676DDD" w:rsidRPr="00676DDD">
              <w:t>pay an outside contractor for maintenance visits.</w:t>
            </w:r>
            <w:r w:rsidR="00676DDD">
              <w:t xml:space="preserve"> </w:t>
            </w:r>
            <w:r w:rsidR="000E0015">
              <w:t>C.S.</w:t>
            </w:r>
            <w:r w:rsidR="00676DDD" w:rsidRPr="00676DDD">
              <w:t>H.B. 2700 seeks to</w:t>
            </w:r>
            <w:r w:rsidR="007C29B1">
              <w:t xml:space="preserve"> remedy this situation by providing for </w:t>
            </w:r>
            <w:r w:rsidR="00792434">
              <w:t xml:space="preserve">the maintenance </w:t>
            </w:r>
            <w:r w:rsidR="007C29B1">
              <w:t xml:space="preserve">of </w:t>
            </w:r>
            <w:r w:rsidR="00792434">
              <w:t xml:space="preserve">portions of </w:t>
            </w:r>
            <w:r w:rsidR="007C29B1">
              <w:t>state highway right</w:t>
            </w:r>
            <w:r w:rsidR="00792434">
              <w:t>s</w:t>
            </w:r>
            <w:r w:rsidR="007C29B1">
              <w:t xml:space="preserve">-of-way </w:t>
            </w:r>
            <w:r w:rsidR="00792434">
              <w:t>by municipalities under certain conditions</w:t>
            </w:r>
            <w:r w:rsidR="00676DDD" w:rsidRPr="00676DDD">
              <w:t>.</w:t>
            </w:r>
          </w:p>
          <w:p w14:paraId="14C4CEAD" w14:textId="77777777" w:rsidR="008423E4" w:rsidRPr="00E26B13" w:rsidRDefault="008423E4" w:rsidP="0017339A">
            <w:pPr>
              <w:rPr>
                <w:b/>
              </w:rPr>
            </w:pPr>
          </w:p>
        </w:tc>
      </w:tr>
      <w:tr w:rsidR="0063731C" w14:paraId="539F4E9C" w14:textId="77777777" w:rsidTr="00345119">
        <w:tc>
          <w:tcPr>
            <w:tcW w:w="9576" w:type="dxa"/>
          </w:tcPr>
          <w:p w14:paraId="025A4A5C" w14:textId="77777777" w:rsidR="0017725B" w:rsidRDefault="00AB24F0" w:rsidP="00173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E364E4" w14:textId="77777777" w:rsidR="0017725B" w:rsidRDefault="0017725B" w:rsidP="0017339A">
            <w:pPr>
              <w:rPr>
                <w:b/>
                <w:u w:val="single"/>
              </w:rPr>
            </w:pPr>
          </w:p>
          <w:p w14:paraId="1AA264E3" w14:textId="77777777" w:rsidR="00BB2744" w:rsidRPr="00BB2744" w:rsidRDefault="00AB24F0" w:rsidP="0017339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63050BB7" w14:textId="77777777" w:rsidR="0017725B" w:rsidRPr="0017725B" w:rsidRDefault="0017725B" w:rsidP="0017339A">
            <w:pPr>
              <w:rPr>
                <w:b/>
                <w:u w:val="single"/>
              </w:rPr>
            </w:pPr>
          </w:p>
        </w:tc>
      </w:tr>
      <w:tr w:rsidR="0063731C" w14:paraId="3FFBC265" w14:textId="77777777" w:rsidTr="00345119">
        <w:tc>
          <w:tcPr>
            <w:tcW w:w="9576" w:type="dxa"/>
          </w:tcPr>
          <w:p w14:paraId="21979C6D" w14:textId="77777777" w:rsidR="008423E4" w:rsidRPr="00A8133F" w:rsidRDefault="00AB24F0" w:rsidP="001733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58CEB3" w14:textId="77777777" w:rsidR="008423E4" w:rsidRDefault="008423E4" w:rsidP="0017339A"/>
          <w:p w14:paraId="79FE7F57" w14:textId="77777777" w:rsidR="00BB2744" w:rsidRDefault="00AB24F0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33683666" w14:textId="77777777" w:rsidR="008423E4" w:rsidRPr="00E21FDC" w:rsidRDefault="008423E4" w:rsidP="0017339A">
            <w:pPr>
              <w:rPr>
                <w:b/>
              </w:rPr>
            </w:pPr>
          </w:p>
        </w:tc>
      </w:tr>
      <w:tr w:rsidR="0063731C" w14:paraId="63B8EF23" w14:textId="77777777" w:rsidTr="00345119">
        <w:tc>
          <w:tcPr>
            <w:tcW w:w="9576" w:type="dxa"/>
          </w:tcPr>
          <w:p w14:paraId="385D6047" w14:textId="77777777" w:rsidR="008423E4" w:rsidRPr="00A8133F" w:rsidRDefault="00AB24F0" w:rsidP="001733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43577C" w14:textId="77777777" w:rsidR="008423E4" w:rsidRDefault="008423E4" w:rsidP="0017339A"/>
          <w:p w14:paraId="3F802C21" w14:textId="06A8DE50" w:rsidR="009C36CD" w:rsidRDefault="00AB24F0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B2744">
              <w:t xml:space="preserve">H.B. 2700 amends the </w:t>
            </w:r>
            <w:r w:rsidR="00BB2744" w:rsidRPr="00BB2744">
              <w:t>Transportation Code</w:t>
            </w:r>
            <w:r w:rsidR="00BB2744">
              <w:t xml:space="preserve"> to authorize the </w:t>
            </w:r>
            <w:r w:rsidR="00BB2744" w:rsidRPr="00BB2744">
              <w:t>Texas Department of Transportation</w:t>
            </w:r>
            <w:r w:rsidR="00BB2744">
              <w:t xml:space="preserve"> (TxDOT) and a </w:t>
            </w:r>
            <w:r w:rsidR="00BB2744" w:rsidRPr="00BB2744">
              <w:t>municipality</w:t>
            </w:r>
            <w:r w:rsidR="00BB2744">
              <w:t xml:space="preserve"> to </w:t>
            </w:r>
            <w:r w:rsidR="00BB2744" w:rsidRPr="00BB2744">
              <w:t>enter into an agreement to allow the municipality to maintain all or a portion of the state highway right-of-way located within the municipality or the municipality's extraterritorial jurisdiction.</w:t>
            </w:r>
            <w:r w:rsidR="00BB2744">
              <w:t xml:space="preserve"> The bill </w:t>
            </w:r>
            <w:r>
              <w:t xml:space="preserve">authorizes </w:t>
            </w:r>
            <w:r w:rsidR="00FE52E5">
              <w:t>the</w:t>
            </w:r>
            <w:r w:rsidR="00BB2744">
              <w:t xml:space="preserve"> agreement to compensate the municipality to </w:t>
            </w:r>
            <w:r w:rsidR="00BB2744" w:rsidRPr="00BB2744">
              <w:t xml:space="preserve">maintain the right-of-way </w:t>
            </w:r>
            <w:r w:rsidR="00BB2744">
              <w:t>in an amount</w:t>
            </w:r>
            <w:r w:rsidR="00BB2744" w:rsidRPr="00BB2744">
              <w:t xml:space="preserve"> equal</w:t>
            </w:r>
            <w:r w:rsidR="00BB2744">
              <w:t>ing</w:t>
            </w:r>
            <w:r w:rsidR="00BB2744" w:rsidRPr="00BB2744">
              <w:t xml:space="preserve"> the cost</w:t>
            </w:r>
            <w:r w:rsidR="00BB2744">
              <w:t xml:space="preserve"> </w:t>
            </w:r>
            <w:r w:rsidR="00BB2744" w:rsidRPr="00BB2744">
              <w:t>TxDOT</w:t>
            </w:r>
            <w:r w:rsidR="00BB2744">
              <w:t xml:space="preserve"> </w:t>
            </w:r>
            <w:r w:rsidR="00BB2744" w:rsidRPr="00BB2744">
              <w:t>would incur if</w:t>
            </w:r>
            <w:r w:rsidR="00BB2744">
              <w:t xml:space="preserve"> </w:t>
            </w:r>
            <w:r w:rsidR="00BB2744" w:rsidRPr="00BB2744">
              <w:t>TxDOT</w:t>
            </w:r>
            <w:r w:rsidR="00BB2744">
              <w:t xml:space="preserve"> </w:t>
            </w:r>
            <w:r w:rsidR="00BB2744" w:rsidRPr="00BB2744">
              <w:t>or a contractor acting on</w:t>
            </w:r>
            <w:r w:rsidR="00BB2744">
              <w:t xml:space="preserve"> </w:t>
            </w:r>
            <w:r w:rsidR="00BB2744" w:rsidRPr="00BB2744">
              <w:t>TxDOT</w:t>
            </w:r>
            <w:r w:rsidR="00BB2744">
              <w:t xml:space="preserve">'s behalf </w:t>
            </w:r>
            <w:r w:rsidR="00BB2744" w:rsidRPr="00BB2744">
              <w:t>maintained the right-of-way.</w:t>
            </w:r>
          </w:p>
          <w:p w14:paraId="489ECBDD" w14:textId="71E32821" w:rsidR="00A660C4" w:rsidRDefault="00A660C4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875CAC" w14:textId="134262F1" w:rsidR="00A660C4" w:rsidRDefault="00AB24F0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0E0015">
              <w:t xml:space="preserve">2700 </w:t>
            </w:r>
            <w:r>
              <w:t xml:space="preserve">establishes that TxDOT has </w:t>
            </w:r>
            <w:r w:rsidRPr="00A660C4">
              <w:t>full easements</w:t>
            </w:r>
            <w:r w:rsidRPr="00A660C4">
              <w:t xml:space="preserve"> and rights-of-way through, across, under, and over any property owned by the state or a local government that are necessary or convenient for the maintenance of any portion of a transportation project or system operated by a</w:t>
            </w:r>
            <w:r>
              <w:t xml:space="preserve"> regional mobility</w:t>
            </w:r>
            <w:r w:rsidRPr="00A660C4">
              <w:t xml:space="preserve"> authority</w:t>
            </w:r>
            <w:r>
              <w:t>. T</w:t>
            </w:r>
            <w:r>
              <w:t xml:space="preserve">he bill </w:t>
            </w:r>
            <w:r w:rsidR="00C10A0F">
              <w:t xml:space="preserve">requires </w:t>
            </w:r>
            <w:r w:rsidR="00F5580B">
              <w:t>the</w:t>
            </w:r>
            <w:r w:rsidR="00C10A0F">
              <w:t xml:space="preserve"> easement </w:t>
            </w:r>
            <w:r w:rsidR="00F5580B">
              <w:t xml:space="preserve">or right-of-way </w:t>
            </w:r>
            <w:r w:rsidR="00C10A0F">
              <w:t xml:space="preserve">to </w:t>
            </w:r>
            <w:r w:rsidR="00C10A0F" w:rsidRPr="00C10A0F">
              <w:t>be documented by filing a declaration of the property interest in the real property records of the county</w:t>
            </w:r>
            <w:r w:rsidR="00F5580B">
              <w:t>, which must include the following</w:t>
            </w:r>
            <w:r w:rsidR="00C10A0F">
              <w:t>:</w:t>
            </w:r>
          </w:p>
          <w:p w14:paraId="6E83A9D6" w14:textId="5DF49232" w:rsidR="00C10A0F" w:rsidRDefault="00AB24F0" w:rsidP="001733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10A0F">
              <w:t>a description of the property interest;</w:t>
            </w:r>
          </w:p>
          <w:p w14:paraId="0A9975B6" w14:textId="48902CAD" w:rsidR="00C10A0F" w:rsidRDefault="00AB24F0" w:rsidP="001733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10A0F">
              <w:t>a specific reference to th</w:t>
            </w:r>
            <w:r w:rsidRPr="00C10A0F">
              <w:t>e legislative authority for the property interest; and</w:t>
            </w:r>
          </w:p>
          <w:p w14:paraId="5E0ECD53" w14:textId="28FBA1D8" w:rsidR="00C10A0F" w:rsidRPr="009C36CD" w:rsidRDefault="00AB24F0" w:rsidP="0017339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10A0F">
              <w:t>a plot plan of the property interest</w:t>
            </w:r>
            <w:r>
              <w:t xml:space="preserve"> that includes any applicable information regarding the </w:t>
            </w:r>
            <w:r w:rsidRPr="00C10A0F">
              <w:t>municipality in which the property is located</w:t>
            </w:r>
            <w:r>
              <w:t xml:space="preserve"> and </w:t>
            </w:r>
            <w:r w:rsidRPr="00C10A0F">
              <w:t xml:space="preserve">the street address </w:t>
            </w:r>
            <w:r>
              <w:t xml:space="preserve">and lot and block number </w:t>
            </w:r>
            <w:r w:rsidRPr="00C10A0F">
              <w:t>of the property</w:t>
            </w:r>
            <w:r>
              <w:t xml:space="preserve">. </w:t>
            </w:r>
          </w:p>
          <w:p w14:paraId="3329C009" w14:textId="77777777" w:rsidR="008423E4" w:rsidRPr="0017339A" w:rsidRDefault="008423E4" w:rsidP="0017339A">
            <w:pPr>
              <w:rPr>
                <w:b/>
                <w:sz w:val="20"/>
              </w:rPr>
            </w:pPr>
          </w:p>
        </w:tc>
      </w:tr>
      <w:tr w:rsidR="0063731C" w14:paraId="5DF9BBE2" w14:textId="77777777" w:rsidTr="00345119">
        <w:tc>
          <w:tcPr>
            <w:tcW w:w="9576" w:type="dxa"/>
          </w:tcPr>
          <w:p w14:paraId="48BAF1B3" w14:textId="77777777" w:rsidR="008423E4" w:rsidRPr="00A8133F" w:rsidRDefault="00AB24F0" w:rsidP="001733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6D72DA7" w14:textId="77777777" w:rsidR="008423E4" w:rsidRDefault="008423E4" w:rsidP="0017339A"/>
          <w:p w14:paraId="47FF4066" w14:textId="77777777" w:rsidR="008423E4" w:rsidRPr="003624F2" w:rsidRDefault="00AB24F0" w:rsidP="00173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6567601" w14:textId="77777777" w:rsidR="008423E4" w:rsidRPr="00233FDB" w:rsidRDefault="008423E4" w:rsidP="0017339A">
            <w:pPr>
              <w:rPr>
                <w:b/>
              </w:rPr>
            </w:pPr>
          </w:p>
        </w:tc>
      </w:tr>
      <w:tr w:rsidR="0063731C" w14:paraId="64AE56AB" w14:textId="77777777" w:rsidTr="00345119">
        <w:tc>
          <w:tcPr>
            <w:tcW w:w="9576" w:type="dxa"/>
          </w:tcPr>
          <w:p w14:paraId="1802068E" w14:textId="77777777" w:rsidR="00D97ED2" w:rsidRDefault="00AB24F0" w:rsidP="001733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B944B28" w14:textId="77777777" w:rsidR="00155DC2" w:rsidRDefault="00155DC2" w:rsidP="0017339A">
            <w:pPr>
              <w:jc w:val="both"/>
            </w:pPr>
          </w:p>
          <w:p w14:paraId="18CAFB68" w14:textId="35D3DE8A" w:rsidR="00155DC2" w:rsidRDefault="00AB24F0" w:rsidP="0017339A">
            <w:pPr>
              <w:jc w:val="both"/>
            </w:pPr>
            <w:r>
              <w:t>While C.S.H.B. 2700 may differ from the original in minor or nonsubstantive ways, the following summarizes th</w:t>
            </w:r>
            <w:r>
              <w:t xml:space="preserve">e substantial differences between the introduced and committee substitute versions of the bill. </w:t>
            </w:r>
          </w:p>
          <w:p w14:paraId="1C0D1F83" w14:textId="109777A8" w:rsidR="00155DC2" w:rsidRDefault="00155DC2" w:rsidP="0017339A">
            <w:pPr>
              <w:jc w:val="both"/>
            </w:pPr>
          </w:p>
          <w:p w14:paraId="1DD62699" w14:textId="26D12F92" w:rsidR="00155DC2" w:rsidRDefault="00AB24F0" w:rsidP="0017339A">
            <w:pPr>
              <w:jc w:val="both"/>
            </w:pPr>
            <w:r>
              <w:t xml:space="preserve">The substitute replaces the requirement </w:t>
            </w:r>
            <w:r w:rsidR="00AD40C9">
              <w:t xml:space="preserve">that appeared in the original </w:t>
            </w:r>
            <w:r w:rsidR="00F5580B">
              <w:t xml:space="preserve">for the </w:t>
            </w:r>
            <w:r>
              <w:t xml:space="preserve">agreement </w:t>
            </w:r>
            <w:r w:rsidR="00F5580B">
              <w:t xml:space="preserve">to compensate the municipality to </w:t>
            </w:r>
            <w:r w:rsidR="00F5580B" w:rsidRPr="00BB2744">
              <w:t xml:space="preserve">maintain the right-of-way </w:t>
            </w:r>
            <w:r w:rsidR="00AD40C9">
              <w:t xml:space="preserve">with an authorization </w:t>
            </w:r>
            <w:r w:rsidR="00414EB4">
              <w:t xml:space="preserve">for </w:t>
            </w:r>
            <w:r w:rsidR="00AD40C9">
              <w:t xml:space="preserve">the agreement </w:t>
            </w:r>
            <w:r w:rsidR="00414EB4">
              <w:t xml:space="preserve">to </w:t>
            </w:r>
            <w:r w:rsidR="00AD40C9">
              <w:t xml:space="preserve">do so. </w:t>
            </w:r>
          </w:p>
          <w:p w14:paraId="3A83E657" w14:textId="6BFCBFF3" w:rsidR="00AD40C9" w:rsidRDefault="00AD40C9" w:rsidP="0017339A">
            <w:pPr>
              <w:jc w:val="both"/>
            </w:pPr>
          </w:p>
          <w:p w14:paraId="108E2A5A" w14:textId="13CA226E" w:rsidR="00414EB4" w:rsidRDefault="00AB24F0" w:rsidP="0017339A">
            <w:pPr>
              <w:jc w:val="both"/>
            </w:pPr>
            <w:r>
              <w:t>The substitute includes the following provisions, which were absent from the original:</w:t>
            </w:r>
          </w:p>
          <w:p w14:paraId="7B8C019C" w14:textId="4C978FA8" w:rsidR="00414EB4" w:rsidRDefault="00AB24F0" w:rsidP="0017339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</w:t>
            </w:r>
            <w:r w:rsidR="00714CD4">
              <w:t xml:space="preserve">establishing </w:t>
            </w:r>
            <w:r w:rsidR="00714CD4" w:rsidRPr="00714CD4">
              <w:t>that TxDOT has full easements and rights-of-way through, across, under, and over any property owned by the state or a local government that are necessary or convenient for the maintenance of any portion of a transportation project or system operated by a regional mobility authority</w:t>
            </w:r>
            <w:r>
              <w:t>;</w:t>
            </w:r>
          </w:p>
          <w:p w14:paraId="7574B290" w14:textId="54AB7ABC" w:rsidR="00414EB4" w:rsidRDefault="00AB24F0" w:rsidP="0017339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</w:t>
            </w:r>
            <w:r>
              <w:t xml:space="preserve"> requirement for</w:t>
            </w:r>
            <w:r w:rsidR="00714CD4">
              <w:t xml:space="preserve"> the easement to be documented by filing a declaration </w:t>
            </w:r>
            <w:r w:rsidR="00714CD4" w:rsidRPr="00714CD4">
              <w:t>of the property interest in the real property records of the county</w:t>
            </w:r>
            <w:r>
              <w:t>;</w:t>
            </w:r>
            <w:r w:rsidR="00714CD4">
              <w:t xml:space="preserve"> and</w:t>
            </w:r>
          </w:p>
          <w:p w14:paraId="5A5CB80D" w14:textId="51906B9E" w:rsidR="00AD40C9" w:rsidRDefault="00AB24F0" w:rsidP="0017339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setting out the required contents of </w:t>
            </w:r>
            <w:r w:rsidR="00714CD4">
              <w:t xml:space="preserve">the declaration. </w:t>
            </w:r>
          </w:p>
          <w:p w14:paraId="551368F5" w14:textId="53EA6D4F" w:rsidR="00155DC2" w:rsidRPr="00155DC2" w:rsidRDefault="00155DC2" w:rsidP="0017339A">
            <w:pPr>
              <w:jc w:val="both"/>
            </w:pPr>
          </w:p>
        </w:tc>
      </w:tr>
      <w:tr w:rsidR="0063731C" w14:paraId="49713C02" w14:textId="77777777" w:rsidTr="00345119">
        <w:tc>
          <w:tcPr>
            <w:tcW w:w="9576" w:type="dxa"/>
          </w:tcPr>
          <w:p w14:paraId="7FED30AC" w14:textId="77777777" w:rsidR="00D97ED2" w:rsidRPr="009C1E9A" w:rsidRDefault="00D97ED2" w:rsidP="0017339A">
            <w:pPr>
              <w:rPr>
                <w:b/>
                <w:u w:val="single"/>
              </w:rPr>
            </w:pPr>
          </w:p>
        </w:tc>
      </w:tr>
      <w:tr w:rsidR="0063731C" w14:paraId="33F77911" w14:textId="77777777" w:rsidTr="00345119">
        <w:tc>
          <w:tcPr>
            <w:tcW w:w="9576" w:type="dxa"/>
          </w:tcPr>
          <w:p w14:paraId="6909B1D0" w14:textId="77777777" w:rsidR="00D97ED2" w:rsidRPr="00D97ED2" w:rsidRDefault="00D97ED2" w:rsidP="0017339A">
            <w:pPr>
              <w:jc w:val="both"/>
            </w:pPr>
          </w:p>
        </w:tc>
      </w:tr>
    </w:tbl>
    <w:p w14:paraId="50A9BDCB" w14:textId="77777777" w:rsidR="008423E4" w:rsidRPr="00BE0E75" w:rsidRDefault="008423E4" w:rsidP="0017339A">
      <w:pPr>
        <w:jc w:val="both"/>
        <w:rPr>
          <w:rFonts w:ascii="Arial" w:hAnsi="Arial"/>
          <w:sz w:val="16"/>
          <w:szCs w:val="16"/>
        </w:rPr>
      </w:pPr>
    </w:p>
    <w:p w14:paraId="1AE2F5C8" w14:textId="77777777" w:rsidR="004108C3" w:rsidRPr="008423E4" w:rsidRDefault="004108C3" w:rsidP="0017339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013C" w14:textId="77777777" w:rsidR="00000000" w:rsidRDefault="00AB24F0">
      <w:r>
        <w:separator/>
      </w:r>
    </w:p>
  </w:endnote>
  <w:endnote w:type="continuationSeparator" w:id="0">
    <w:p w14:paraId="67C1D7BE" w14:textId="77777777" w:rsidR="00000000" w:rsidRDefault="00AB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9B16" w14:textId="77777777" w:rsidR="00A83B00" w:rsidRDefault="00A8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731C" w14:paraId="51093A5D" w14:textId="77777777" w:rsidTr="009C1E9A">
      <w:trPr>
        <w:cantSplit/>
      </w:trPr>
      <w:tc>
        <w:tcPr>
          <w:tcW w:w="0" w:type="pct"/>
        </w:tcPr>
        <w:p w14:paraId="0F1A9B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C667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88B5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94D4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AA58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31C" w14:paraId="51A81114" w14:textId="77777777" w:rsidTr="009C1E9A">
      <w:trPr>
        <w:cantSplit/>
      </w:trPr>
      <w:tc>
        <w:tcPr>
          <w:tcW w:w="0" w:type="pct"/>
        </w:tcPr>
        <w:p w14:paraId="6A10DF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67538E" w14:textId="7B198F42" w:rsidR="00EC379B" w:rsidRPr="009C1E9A" w:rsidRDefault="00AB24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22087</w:t>
          </w:r>
        </w:p>
      </w:tc>
      <w:tc>
        <w:tcPr>
          <w:tcW w:w="2453" w:type="pct"/>
        </w:tcPr>
        <w:p w14:paraId="2AFD4761" w14:textId="13DD2676" w:rsidR="00EC379B" w:rsidRDefault="00AB24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46CF">
            <w:t>21.115.564</w:t>
          </w:r>
          <w:r>
            <w:fldChar w:fldCharType="end"/>
          </w:r>
        </w:p>
      </w:tc>
    </w:tr>
    <w:tr w:rsidR="0063731C" w14:paraId="6AE628BA" w14:textId="77777777" w:rsidTr="009C1E9A">
      <w:trPr>
        <w:cantSplit/>
      </w:trPr>
      <w:tc>
        <w:tcPr>
          <w:tcW w:w="0" w:type="pct"/>
        </w:tcPr>
        <w:p w14:paraId="37A418F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5F6AE4" w14:textId="68709620" w:rsidR="00EC379B" w:rsidRPr="009C1E9A" w:rsidRDefault="00AB24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20473</w:t>
          </w:r>
        </w:p>
      </w:tc>
      <w:tc>
        <w:tcPr>
          <w:tcW w:w="2453" w:type="pct"/>
        </w:tcPr>
        <w:p w14:paraId="409483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8665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31C" w14:paraId="4C3AFAF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B54C6D" w14:textId="4CF41FB8" w:rsidR="00EC379B" w:rsidRDefault="00AB24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339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841B7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BB6C3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BB2C" w14:textId="77777777" w:rsidR="00A83B00" w:rsidRDefault="00A8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E285" w14:textId="77777777" w:rsidR="00000000" w:rsidRDefault="00AB24F0">
      <w:r>
        <w:separator/>
      </w:r>
    </w:p>
  </w:footnote>
  <w:footnote w:type="continuationSeparator" w:id="0">
    <w:p w14:paraId="158DB188" w14:textId="77777777" w:rsidR="00000000" w:rsidRDefault="00AB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22D6" w14:textId="77777777" w:rsidR="00A83B00" w:rsidRDefault="00A8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2536" w14:textId="77777777" w:rsidR="00A83B00" w:rsidRDefault="00A8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5739" w14:textId="77777777" w:rsidR="00A83B00" w:rsidRDefault="00A8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E71"/>
    <w:multiLevelType w:val="hybridMultilevel"/>
    <w:tmpl w:val="C1AC5CC4"/>
    <w:lvl w:ilvl="0" w:tplc="E438E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41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8A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4A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2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CA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3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2A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A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167"/>
    <w:multiLevelType w:val="hybridMultilevel"/>
    <w:tmpl w:val="80EC75B6"/>
    <w:lvl w:ilvl="0" w:tplc="C83A12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7BA725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9C12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BF6FBE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FA0C12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52EDBB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64EA4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626C70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376394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015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DC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39A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BAB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AD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EB4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00B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39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31C"/>
    <w:rsid w:val="006402E7"/>
    <w:rsid w:val="00640CB6"/>
    <w:rsid w:val="00641B42"/>
    <w:rsid w:val="00645750"/>
    <w:rsid w:val="00647DD9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DDD"/>
    <w:rsid w:val="0068127E"/>
    <w:rsid w:val="00681790"/>
    <w:rsid w:val="006823AA"/>
    <w:rsid w:val="00684B98"/>
    <w:rsid w:val="00685272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CD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43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9B1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74F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0C4"/>
    <w:rsid w:val="00A70E35"/>
    <w:rsid w:val="00A720DC"/>
    <w:rsid w:val="00A803CF"/>
    <w:rsid w:val="00A8133F"/>
    <w:rsid w:val="00A82CB4"/>
    <w:rsid w:val="00A837A8"/>
    <w:rsid w:val="00A83B00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4F0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0C9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6CF"/>
    <w:rsid w:val="00B95BC8"/>
    <w:rsid w:val="00B96E87"/>
    <w:rsid w:val="00BA146A"/>
    <w:rsid w:val="00BA32EE"/>
    <w:rsid w:val="00BB2744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A0F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07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B14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97ED2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B9A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80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2E5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C0DEA6-B62A-49B6-86C7-F51C2FB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27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7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744"/>
    <w:rPr>
      <w:b/>
      <w:bCs/>
    </w:rPr>
  </w:style>
  <w:style w:type="paragraph" w:styleId="ListParagraph">
    <w:name w:val="List Paragraph"/>
    <w:basedOn w:val="Normal"/>
    <w:uiPriority w:val="34"/>
    <w:qFormat/>
    <w:rsid w:val="0041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3232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HB02700 (Committee Report (Substituted))</vt:lpstr>
    </vt:vector>
  </TitlesOfParts>
  <Company>State of Texas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22087</dc:subject>
  <dc:creator>State of Texas</dc:creator>
  <dc:description>HB 2700 by Martinez-(H)Transportation (Substitute Document Number: 87R 20473)</dc:description>
  <cp:lastModifiedBy>Stacey Nicchio</cp:lastModifiedBy>
  <cp:revision>2</cp:revision>
  <cp:lastPrinted>2003-11-26T17:21:00Z</cp:lastPrinted>
  <dcterms:created xsi:type="dcterms:W3CDTF">2021-04-30T01:20:00Z</dcterms:created>
  <dcterms:modified xsi:type="dcterms:W3CDTF">2021-04-30T01:20:00Z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21.115.564</vt:lpwstr>
  </property>
</Properties>
</file>