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302B2" w14:paraId="176045A3" w14:textId="77777777" w:rsidTr="00345119">
        <w:tc>
          <w:tcPr>
            <w:tcW w:w="9576" w:type="dxa"/>
            <w:noWrap/>
          </w:tcPr>
          <w:p w14:paraId="2CF39322" w14:textId="77777777" w:rsidR="008423E4" w:rsidRPr="0022177D" w:rsidRDefault="009012C5" w:rsidP="00F41A9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35C403A" w14:textId="77777777" w:rsidR="008423E4" w:rsidRPr="0022177D" w:rsidRDefault="008423E4" w:rsidP="00F41A9D">
      <w:pPr>
        <w:jc w:val="center"/>
      </w:pPr>
    </w:p>
    <w:p w14:paraId="6518CBE2" w14:textId="77777777" w:rsidR="008423E4" w:rsidRPr="00B31F0E" w:rsidRDefault="008423E4" w:rsidP="00F41A9D"/>
    <w:p w14:paraId="03527CA4" w14:textId="77777777" w:rsidR="008423E4" w:rsidRPr="00742794" w:rsidRDefault="008423E4" w:rsidP="00F41A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02B2" w14:paraId="031A4CCB" w14:textId="77777777" w:rsidTr="00345119">
        <w:tc>
          <w:tcPr>
            <w:tcW w:w="9576" w:type="dxa"/>
          </w:tcPr>
          <w:p w14:paraId="0E844366" w14:textId="6A51A371" w:rsidR="008423E4" w:rsidRPr="00861995" w:rsidRDefault="009012C5" w:rsidP="00F41A9D">
            <w:pPr>
              <w:jc w:val="right"/>
            </w:pPr>
            <w:r>
              <w:t>C.S.H.B. 2761</w:t>
            </w:r>
          </w:p>
        </w:tc>
      </w:tr>
      <w:tr w:rsidR="005302B2" w14:paraId="6E54C8CB" w14:textId="77777777" w:rsidTr="00345119">
        <w:tc>
          <w:tcPr>
            <w:tcW w:w="9576" w:type="dxa"/>
          </w:tcPr>
          <w:p w14:paraId="2300BCB9" w14:textId="70D45758" w:rsidR="008423E4" w:rsidRPr="00861995" w:rsidRDefault="009012C5" w:rsidP="00F41A9D">
            <w:pPr>
              <w:jc w:val="right"/>
            </w:pPr>
            <w:r>
              <w:t xml:space="preserve">By: </w:t>
            </w:r>
            <w:r w:rsidR="00765708">
              <w:t>Israel</w:t>
            </w:r>
          </w:p>
        </w:tc>
      </w:tr>
      <w:tr w:rsidR="005302B2" w14:paraId="58D92811" w14:textId="77777777" w:rsidTr="00345119">
        <w:tc>
          <w:tcPr>
            <w:tcW w:w="9576" w:type="dxa"/>
          </w:tcPr>
          <w:p w14:paraId="45A7FE72" w14:textId="51E90A2C" w:rsidR="008423E4" w:rsidRPr="00861995" w:rsidRDefault="009012C5" w:rsidP="00F41A9D">
            <w:pPr>
              <w:jc w:val="right"/>
            </w:pPr>
            <w:r>
              <w:t>Insurance</w:t>
            </w:r>
          </w:p>
        </w:tc>
      </w:tr>
      <w:tr w:rsidR="005302B2" w14:paraId="24C68D27" w14:textId="77777777" w:rsidTr="00345119">
        <w:tc>
          <w:tcPr>
            <w:tcW w:w="9576" w:type="dxa"/>
          </w:tcPr>
          <w:p w14:paraId="1DE2E70D" w14:textId="1CC0C181" w:rsidR="008423E4" w:rsidRDefault="009012C5" w:rsidP="00F41A9D">
            <w:pPr>
              <w:jc w:val="right"/>
            </w:pPr>
            <w:r>
              <w:t>Committee Report (Substituted)</w:t>
            </w:r>
          </w:p>
        </w:tc>
      </w:tr>
    </w:tbl>
    <w:p w14:paraId="7021EA2E" w14:textId="77777777" w:rsidR="008423E4" w:rsidRDefault="008423E4" w:rsidP="00F41A9D">
      <w:pPr>
        <w:tabs>
          <w:tab w:val="right" w:pos="9360"/>
        </w:tabs>
      </w:pPr>
    </w:p>
    <w:p w14:paraId="6021DED2" w14:textId="77777777" w:rsidR="008423E4" w:rsidRDefault="008423E4" w:rsidP="00F41A9D"/>
    <w:p w14:paraId="0E6DFEBA" w14:textId="77777777" w:rsidR="008423E4" w:rsidRDefault="008423E4" w:rsidP="00F41A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302B2" w14:paraId="65F7E752" w14:textId="77777777" w:rsidTr="00F41A9D">
        <w:tc>
          <w:tcPr>
            <w:tcW w:w="9360" w:type="dxa"/>
          </w:tcPr>
          <w:p w14:paraId="2CD1D048" w14:textId="77777777" w:rsidR="008423E4" w:rsidRPr="00A8133F" w:rsidRDefault="009012C5" w:rsidP="00F41A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30222B" w14:textId="77777777" w:rsidR="008423E4" w:rsidRDefault="008423E4" w:rsidP="00F41A9D"/>
          <w:p w14:paraId="399B6E17" w14:textId="6B96D048" w:rsidR="008423E4" w:rsidRDefault="009012C5" w:rsidP="00F41A9D">
            <w:pPr>
              <w:pStyle w:val="Header"/>
              <w:jc w:val="both"/>
            </w:pPr>
            <w:r>
              <w:t>C</w:t>
            </w:r>
            <w:r w:rsidR="006E43A0">
              <w:t>onsumers shopping for health coverage</w:t>
            </w:r>
            <w:r>
              <w:t xml:space="preserve"> </w:t>
            </w:r>
            <w:r w:rsidR="006E43A0">
              <w:t xml:space="preserve">need access to </w:t>
            </w:r>
            <w:r w:rsidR="008411F3">
              <w:t xml:space="preserve">easily </w:t>
            </w:r>
            <w:r w:rsidR="006E43A0">
              <w:t>understandable information on their coverage options</w:t>
            </w:r>
            <w:r>
              <w:t xml:space="preserve"> to make an informed choice</w:t>
            </w:r>
            <w:r w:rsidR="006E43A0">
              <w:t xml:space="preserve">. </w:t>
            </w:r>
            <w:r>
              <w:t xml:space="preserve">Federal law requires </w:t>
            </w:r>
            <w:r w:rsidR="00077FBF">
              <w:t xml:space="preserve">certain traditional health </w:t>
            </w:r>
            <w:r w:rsidR="006E43A0">
              <w:t>insur</w:t>
            </w:r>
            <w:r>
              <w:t>ers</w:t>
            </w:r>
            <w:r w:rsidR="006E43A0">
              <w:t xml:space="preserve"> to provide shoppers and enrollees with an up</w:t>
            </w:r>
            <w:r w:rsidR="004A7A80">
              <w:t>-</w:t>
            </w:r>
            <w:r w:rsidR="006E43A0">
              <w:t>front</w:t>
            </w:r>
            <w:r w:rsidR="00F57A7D">
              <w:t>,</w:t>
            </w:r>
            <w:r w:rsidR="006E43A0">
              <w:t xml:space="preserve"> uniform coverage summary for health insurance. </w:t>
            </w:r>
            <w:r>
              <w:t>While state law provides for a</w:t>
            </w:r>
            <w:r w:rsidR="00F57A7D">
              <w:t xml:space="preserve"> similar</w:t>
            </w:r>
            <w:r>
              <w:t xml:space="preserve"> </w:t>
            </w:r>
            <w:r w:rsidR="006E43A0">
              <w:t xml:space="preserve">summary </w:t>
            </w:r>
            <w:r w:rsidR="008411F3">
              <w:t xml:space="preserve">requirement </w:t>
            </w:r>
            <w:r w:rsidR="006E43A0">
              <w:t xml:space="preserve">for </w:t>
            </w:r>
            <w:r w:rsidRPr="00077FBF">
              <w:t>certain</w:t>
            </w:r>
            <w:r w:rsidR="00077FBF">
              <w:t xml:space="preserve"> short-term</w:t>
            </w:r>
            <w:r w:rsidR="006E43A0" w:rsidRPr="00077FBF">
              <w:t xml:space="preserve"> plans</w:t>
            </w:r>
            <w:r w:rsidR="006E43A0">
              <w:t>, sales of other alternative health coverage</w:t>
            </w:r>
            <w:r w:rsidR="00EC7B80">
              <w:t xml:space="preserve"> plans</w:t>
            </w:r>
            <w:r w:rsidR="006E43A0">
              <w:t xml:space="preserve"> ha</w:t>
            </w:r>
            <w:r w:rsidR="00807F26">
              <w:t>ve</w:t>
            </w:r>
            <w:r w:rsidR="006E43A0">
              <w:t xml:space="preserve"> increased in recent years</w:t>
            </w:r>
            <w:r w:rsidR="008411F3">
              <w:t xml:space="preserve">, and, </w:t>
            </w:r>
            <w:r w:rsidR="00807F26">
              <w:t>without such a summary</w:t>
            </w:r>
            <w:r w:rsidR="00EC7B80">
              <w:t xml:space="preserve"> requirement for those coverages</w:t>
            </w:r>
            <w:r w:rsidR="000674E8">
              <w:t>,</w:t>
            </w:r>
            <w:r w:rsidR="006E43A0">
              <w:t xml:space="preserve"> consumer confusion and deceptive sales practices </w:t>
            </w:r>
            <w:r w:rsidR="00807F26">
              <w:t>may arise</w:t>
            </w:r>
            <w:r w:rsidR="006E43A0">
              <w:t>.</w:t>
            </w:r>
            <w:r w:rsidR="00807F26">
              <w:t xml:space="preserve"> C.S.</w:t>
            </w:r>
            <w:r w:rsidR="006E43A0">
              <w:t>H</w:t>
            </w:r>
            <w:r w:rsidR="00807F26">
              <w:t>.</w:t>
            </w:r>
            <w:r w:rsidR="006E43A0">
              <w:t>B</w:t>
            </w:r>
            <w:r w:rsidR="00807F26">
              <w:t>.</w:t>
            </w:r>
            <w:r w:rsidR="00EC7B80">
              <w:t> </w:t>
            </w:r>
            <w:r w:rsidR="006E43A0">
              <w:t xml:space="preserve">2761 </w:t>
            </w:r>
            <w:r w:rsidR="006837EF">
              <w:t xml:space="preserve">seeks to ensure that consumers are given the information they need in a uniform and easily understandable manner by </w:t>
            </w:r>
            <w:r w:rsidR="006E43A0">
              <w:t>requir</w:t>
            </w:r>
            <w:r w:rsidR="006837EF">
              <w:t>ing</w:t>
            </w:r>
            <w:r w:rsidR="006E43A0">
              <w:t xml:space="preserve"> </w:t>
            </w:r>
            <w:r w:rsidR="00807F26">
              <w:t>the commissioner of insurance to prescribe a disclosure form template for</w:t>
            </w:r>
            <w:r w:rsidR="006E43A0">
              <w:t xml:space="preserve"> </w:t>
            </w:r>
            <w:r w:rsidR="00F26ED5">
              <w:t xml:space="preserve">certain </w:t>
            </w:r>
            <w:r w:rsidR="006E43A0">
              <w:t>health</w:t>
            </w:r>
            <w:r w:rsidR="00807F26">
              <w:t xml:space="preserve"> benefit</w:t>
            </w:r>
            <w:r w:rsidR="006E43A0">
              <w:t xml:space="preserve"> plans and</w:t>
            </w:r>
            <w:r w:rsidR="00807F26">
              <w:t xml:space="preserve"> health expense</w:t>
            </w:r>
            <w:r w:rsidR="006E43A0">
              <w:t xml:space="preserve"> arrangements </w:t>
            </w:r>
            <w:r w:rsidR="00B636E5">
              <w:t>and</w:t>
            </w:r>
            <w:r w:rsidR="006837EF">
              <w:t xml:space="preserve"> </w:t>
            </w:r>
            <w:r w:rsidR="00EC7B80">
              <w:t xml:space="preserve">by </w:t>
            </w:r>
            <w:r w:rsidR="006837EF">
              <w:t xml:space="preserve">providing for mandatory disclosure to consumers by issuers of those plans and arrangements. </w:t>
            </w:r>
          </w:p>
          <w:p w14:paraId="1ADB311D" w14:textId="77777777" w:rsidR="008423E4" w:rsidRPr="00E26B13" w:rsidRDefault="008423E4" w:rsidP="00F41A9D">
            <w:pPr>
              <w:rPr>
                <w:b/>
              </w:rPr>
            </w:pPr>
          </w:p>
        </w:tc>
      </w:tr>
      <w:tr w:rsidR="005302B2" w14:paraId="0E83FC11" w14:textId="77777777" w:rsidTr="00F41A9D">
        <w:tc>
          <w:tcPr>
            <w:tcW w:w="9360" w:type="dxa"/>
          </w:tcPr>
          <w:p w14:paraId="7272210F" w14:textId="77777777" w:rsidR="0017725B" w:rsidRDefault="009012C5" w:rsidP="00F41A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F6B2859" w14:textId="77777777" w:rsidR="0017725B" w:rsidRDefault="0017725B" w:rsidP="00F41A9D">
            <w:pPr>
              <w:rPr>
                <w:b/>
                <w:u w:val="single"/>
              </w:rPr>
            </w:pPr>
          </w:p>
          <w:p w14:paraId="6CF7A762" w14:textId="77777777" w:rsidR="00E1652F" w:rsidRPr="00E1652F" w:rsidRDefault="009012C5" w:rsidP="00F41A9D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14:paraId="73DD5E9F" w14:textId="77777777" w:rsidR="0017725B" w:rsidRPr="0017725B" w:rsidRDefault="0017725B" w:rsidP="00F41A9D">
            <w:pPr>
              <w:rPr>
                <w:b/>
                <w:u w:val="single"/>
              </w:rPr>
            </w:pPr>
          </w:p>
        </w:tc>
      </w:tr>
      <w:tr w:rsidR="005302B2" w14:paraId="245ABF35" w14:textId="77777777" w:rsidTr="00F41A9D">
        <w:tc>
          <w:tcPr>
            <w:tcW w:w="9360" w:type="dxa"/>
          </w:tcPr>
          <w:p w14:paraId="7869C6DA" w14:textId="77777777" w:rsidR="008423E4" w:rsidRPr="00A8133F" w:rsidRDefault="009012C5" w:rsidP="00F41A9D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FE9F9F" w14:textId="77777777" w:rsidR="008423E4" w:rsidRDefault="008423E4" w:rsidP="00F41A9D">
            <w:pPr>
              <w:jc w:val="both"/>
            </w:pPr>
          </w:p>
          <w:p w14:paraId="1F3E4525" w14:textId="04FE7A08" w:rsidR="00E1652F" w:rsidRDefault="009012C5" w:rsidP="00F41A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</w:t>
            </w:r>
            <w:r>
              <w:t xml:space="preserve"> </w:t>
            </w:r>
            <w:r w:rsidR="00A65825">
              <w:t xml:space="preserve">commissioner </w:t>
            </w:r>
            <w:r w:rsidR="00800DD4">
              <w:t xml:space="preserve">of insurance </w:t>
            </w:r>
            <w:r>
              <w:t xml:space="preserve">in </w:t>
            </w:r>
            <w:r w:rsidR="00800DD4">
              <w:t>SECTION 1</w:t>
            </w:r>
            <w:r>
              <w:t xml:space="preserve"> of this bill.</w:t>
            </w:r>
          </w:p>
          <w:p w14:paraId="32EF60A1" w14:textId="77777777" w:rsidR="008423E4" w:rsidRPr="00E21FDC" w:rsidRDefault="008423E4" w:rsidP="00F41A9D">
            <w:pPr>
              <w:jc w:val="both"/>
              <w:rPr>
                <w:b/>
              </w:rPr>
            </w:pPr>
          </w:p>
        </w:tc>
      </w:tr>
      <w:tr w:rsidR="005302B2" w14:paraId="16912A16" w14:textId="77777777" w:rsidTr="00F41A9D">
        <w:tc>
          <w:tcPr>
            <w:tcW w:w="9360" w:type="dxa"/>
          </w:tcPr>
          <w:p w14:paraId="48660901" w14:textId="77777777" w:rsidR="008423E4" w:rsidRPr="00A8133F" w:rsidRDefault="009012C5" w:rsidP="00F41A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744069" w14:textId="77777777" w:rsidR="008423E4" w:rsidRDefault="008423E4" w:rsidP="00F41A9D"/>
          <w:p w14:paraId="40AAB19F" w14:textId="72249882" w:rsidR="00841F21" w:rsidRDefault="009012C5" w:rsidP="00F41A9D">
            <w:pPr>
              <w:pStyle w:val="Header"/>
              <w:jc w:val="both"/>
            </w:pPr>
            <w:r>
              <w:t>C.S.</w:t>
            </w:r>
            <w:r w:rsidR="00E1652F">
              <w:t xml:space="preserve">H.B. 2761 amends the Insurance Code to require the </w:t>
            </w:r>
            <w:r w:rsidR="00E1652F" w:rsidRPr="00E1652F">
              <w:t>commissioner</w:t>
            </w:r>
            <w:r w:rsidR="00E1652F">
              <w:t xml:space="preserve"> of insurance</w:t>
            </w:r>
            <w:r w:rsidR="00E1652F" w:rsidRPr="00E1652F">
              <w:t xml:space="preserve"> by rule </w:t>
            </w:r>
            <w:r w:rsidR="00E1652F">
              <w:t>to</w:t>
            </w:r>
            <w:r w:rsidR="00E1652F" w:rsidRPr="00E1652F">
              <w:t xml:space="preserve"> prescribe a disclosure form template for each</w:t>
            </w:r>
            <w:r w:rsidR="00E1652F">
              <w:t xml:space="preserve"> </w:t>
            </w:r>
            <w:r w:rsidR="00E1652F" w:rsidRPr="00E1652F">
              <w:t>type of health benefit pla</w:t>
            </w:r>
            <w:r w:rsidR="00E1652F">
              <w:t>n or health expense arrangement</w:t>
            </w:r>
            <w:r>
              <w:t xml:space="preserve"> to which the bill applies, which include the following</w:t>
            </w:r>
            <w:r w:rsidR="00F26ED5">
              <w:t>:</w:t>
            </w:r>
          </w:p>
          <w:p w14:paraId="2F6AA1DB" w14:textId="2A5B6B44" w:rsidR="00841F21" w:rsidRDefault="009012C5" w:rsidP="00F41A9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</w:t>
            </w:r>
            <w:r w:rsidR="00CF42FB" w:rsidRPr="00841F21">
              <w:t xml:space="preserve"> health care sharing </w:t>
            </w:r>
            <w:r w:rsidRPr="00841F21">
              <w:t>ministr</w:t>
            </w:r>
            <w:r>
              <w:t>y;</w:t>
            </w:r>
          </w:p>
          <w:p w14:paraId="5C450675" w14:textId="77777777" w:rsidR="00841F21" w:rsidRDefault="009012C5" w:rsidP="00F41A9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discount health care program;</w:t>
            </w:r>
          </w:p>
          <w:p w14:paraId="2E7FB8E7" w14:textId="71C8366B" w:rsidR="00841F21" w:rsidRDefault="009012C5" w:rsidP="00F41A9D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 </w:t>
            </w:r>
            <w:r w:rsidR="00CF42FB" w:rsidRPr="00841F21">
              <w:t>direct primary care arrangement</w:t>
            </w:r>
            <w:r>
              <w:t xml:space="preserve"> that is sold or marketed by a person other than a physician contracting directly with a pa</w:t>
            </w:r>
            <w:r>
              <w:t xml:space="preserve">tient; </w:t>
            </w:r>
          </w:p>
          <w:p w14:paraId="09DD7448" w14:textId="07170D7A" w:rsidR="00841F21" w:rsidRDefault="009012C5" w:rsidP="00F41A9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any other plan or arrangement the commissioner determines is or could be marketed to an individual as an alternative to major medical coverage;</w:t>
            </w:r>
            <w:r w:rsidR="008B1F36">
              <w:t xml:space="preserve"> and</w:t>
            </w:r>
          </w:p>
          <w:p w14:paraId="1701860A" w14:textId="77777777" w:rsidR="00DC56EA" w:rsidRDefault="009012C5" w:rsidP="00F41A9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 individual accident and health insurance policy or group accident and health insurance policy tha</w:t>
            </w:r>
            <w:r>
              <w:t>t is a fixed indemnity, specified disease, or medical indemnity policy, but only under the following conditions:</w:t>
            </w:r>
          </w:p>
          <w:p w14:paraId="2E60C032" w14:textId="77777777" w:rsidR="00DC56EA" w:rsidRDefault="009012C5" w:rsidP="00F41A9D">
            <w:pPr>
              <w:pStyle w:val="Header"/>
              <w:numPr>
                <w:ilvl w:val="1"/>
                <w:numId w:val="2"/>
              </w:numPr>
              <w:jc w:val="both"/>
            </w:pPr>
            <w:r>
              <w:t>the policy is marketed by the insurer or a third party as an alternative to major medical coverage; or</w:t>
            </w:r>
          </w:p>
          <w:p w14:paraId="3DCE2351" w14:textId="04EF043F" w:rsidR="00DC56EA" w:rsidRDefault="009012C5" w:rsidP="00F41A9D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the policy </w:t>
            </w:r>
            <w:r w:rsidRPr="00DC56EA">
              <w:t xml:space="preserve">has a range of benefits that </w:t>
            </w:r>
            <w:r w:rsidRPr="00DC56EA">
              <w:t>is similar to the range of benefits in major medical coverage</w:t>
            </w:r>
            <w:r>
              <w:t xml:space="preserve"> and </w:t>
            </w:r>
            <w:r w:rsidRPr="00DC56EA">
              <w:t>may be sold as stand-alone coverage because the issuer does not require a purchaser to be covered by major medical coverage</w:t>
            </w:r>
            <w:r>
              <w:t xml:space="preserve">. </w:t>
            </w:r>
          </w:p>
          <w:p w14:paraId="20F866A1" w14:textId="6E6CC422" w:rsidR="00037146" w:rsidRDefault="009012C5" w:rsidP="00F41A9D">
            <w:pPr>
              <w:pStyle w:val="Header"/>
              <w:jc w:val="both"/>
            </w:pPr>
            <w:r>
              <w:t>The bill</w:t>
            </w:r>
            <w:r w:rsidR="00A53ECC">
              <w:t xml:space="preserve"> </w:t>
            </w:r>
            <w:r w:rsidR="00E13309">
              <w:t>provides exceptions for</w:t>
            </w:r>
            <w:r>
              <w:t xml:space="preserve"> a plan or arrangement for which</w:t>
            </w:r>
            <w:r>
              <w:t xml:space="preserve"> the issuer is required to submit a summary of benefits and coverage to the U.S. secretary of health and human services</w:t>
            </w:r>
            <w:r w:rsidR="00E13309">
              <w:t xml:space="preserve"> and for</w:t>
            </w:r>
            <w:r>
              <w:t xml:space="preserve"> short-term limited-duration insurance. </w:t>
            </w:r>
          </w:p>
          <w:p w14:paraId="09A1BB6E" w14:textId="77777777" w:rsidR="00037146" w:rsidRDefault="00037146" w:rsidP="00F41A9D">
            <w:pPr>
              <w:pStyle w:val="Header"/>
              <w:jc w:val="both"/>
            </w:pPr>
          </w:p>
          <w:p w14:paraId="3FD7B5D7" w14:textId="0CEE8900" w:rsidR="009C36CD" w:rsidRDefault="009012C5" w:rsidP="00F41A9D">
            <w:pPr>
              <w:pStyle w:val="Header"/>
              <w:jc w:val="both"/>
            </w:pPr>
            <w:r>
              <w:t>C.S.</w:t>
            </w:r>
            <w:r w:rsidR="00A53ECC">
              <w:t>H.B. 2761</w:t>
            </w:r>
            <w:r w:rsidR="00E1652F">
              <w:t xml:space="preserve"> sets out </w:t>
            </w:r>
            <w:r w:rsidR="007D773F">
              <w:t>the</w:t>
            </w:r>
            <w:r w:rsidR="00A65825">
              <w:t xml:space="preserve"> template's</w:t>
            </w:r>
            <w:r w:rsidR="007D773F">
              <w:t xml:space="preserve"> authorized</w:t>
            </w:r>
            <w:r w:rsidR="00A65825">
              <w:t xml:space="preserve"> </w:t>
            </w:r>
            <w:r w:rsidR="00E1652F">
              <w:t xml:space="preserve">content, </w:t>
            </w:r>
            <w:r w:rsidR="00E92C71" w:rsidRPr="00CC7FA1">
              <w:t>which include</w:t>
            </w:r>
            <w:r w:rsidR="00287E5F" w:rsidRPr="00CC7FA1">
              <w:t xml:space="preserve">s a summary of </w:t>
            </w:r>
            <w:r w:rsidR="00130615" w:rsidRPr="00CC7FA1">
              <w:t>covered services</w:t>
            </w:r>
            <w:r w:rsidR="00287E5F" w:rsidRPr="00CC7FA1">
              <w:t xml:space="preserve">, costs, and other </w:t>
            </w:r>
            <w:r w:rsidR="00130615" w:rsidRPr="00CC7FA1">
              <w:t>r</w:t>
            </w:r>
            <w:r w:rsidR="00287E5F" w:rsidRPr="00CC7FA1">
              <w:t>elated information</w:t>
            </w:r>
            <w:r w:rsidR="00287E5F">
              <w:t xml:space="preserve">, and </w:t>
            </w:r>
            <w:r w:rsidR="00130615">
              <w:t>requires the template to be presented in plain language and in a standardized format designed to facilitate consumer understanding.</w:t>
            </w:r>
            <w:r w:rsidR="00E92C71">
              <w:t xml:space="preserve"> The bill authorizes the commissioner to p</w:t>
            </w:r>
            <w:r w:rsidR="00E92C71" w:rsidRPr="00E92C71">
              <w:t xml:space="preserve">rescribe as many templates as necessary to account for each type of plan or </w:t>
            </w:r>
            <w:r w:rsidR="00E92C71">
              <w:t xml:space="preserve">arrangement and to omit </w:t>
            </w:r>
            <w:r w:rsidR="00E92C71" w:rsidRPr="00970E3D">
              <w:t>any information in a template</w:t>
            </w:r>
            <w:r w:rsidR="00E92C71">
              <w:t xml:space="preserve"> if the information is inapplicable to the type of plan or arrangement for which the template is prescribed.</w:t>
            </w:r>
            <w:r w:rsidR="008F2406">
              <w:t xml:space="preserve"> The bill requires the Texas Department of Insurance (TDI) to incorporate the content for an outline of coverage into the template</w:t>
            </w:r>
            <w:r w:rsidR="00F55DE7">
              <w:t xml:space="preserve"> for a policy, if applicable</w:t>
            </w:r>
            <w:r w:rsidR="008F2406">
              <w:t>.</w:t>
            </w:r>
          </w:p>
          <w:p w14:paraId="5167CDB3" w14:textId="77777777" w:rsidR="00CF42FB" w:rsidRDefault="00CF42FB" w:rsidP="00F41A9D">
            <w:pPr>
              <w:pStyle w:val="Header"/>
              <w:jc w:val="both"/>
            </w:pPr>
          </w:p>
          <w:p w14:paraId="164B28A4" w14:textId="7FC4B803" w:rsidR="00CF42FB" w:rsidRDefault="009012C5" w:rsidP="00F41A9D">
            <w:pPr>
              <w:pStyle w:val="Header"/>
              <w:jc w:val="both"/>
            </w:pPr>
            <w:r>
              <w:t>C.S.H.B. 2761 requires t</w:t>
            </w:r>
            <w:r w:rsidRPr="00CF42FB">
              <w:t xml:space="preserve">he commissioner </w:t>
            </w:r>
            <w:r>
              <w:t>to</w:t>
            </w:r>
            <w:r w:rsidRPr="00CF42FB">
              <w:t xml:space="preserve"> consult with the attorney general in prescribing the</w:t>
            </w:r>
            <w:r w:rsidRPr="00CF42FB">
              <w:t xml:space="preserve"> template applicable to a health care sharing ministry and</w:t>
            </w:r>
            <w:r>
              <w:t xml:space="preserve"> to consult with </w:t>
            </w:r>
            <w:r w:rsidRPr="00CF42FB">
              <w:t>the Texas Medical Board in prescribing the template applicable to a direct primary care arrangement</w:t>
            </w:r>
            <w:r>
              <w:t xml:space="preserve">. The bill requires </w:t>
            </w:r>
            <w:r w:rsidR="00800DD4">
              <w:t>those</w:t>
            </w:r>
            <w:r>
              <w:t xml:space="preserve"> </w:t>
            </w:r>
            <w:r w:rsidRPr="00CF42FB">
              <w:t>template</w:t>
            </w:r>
            <w:r w:rsidR="00800DD4">
              <w:t>s</w:t>
            </w:r>
            <w:r w:rsidRPr="00CF42FB">
              <w:t xml:space="preserve"> </w:t>
            </w:r>
            <w:r>
              <w:t xml:space="preserve">to incorporate the applicable </w:t>
            </w:r>
            <w:r w:rsidRPr="00920885">
              <w:t>disclosures</w:t>
            </w:r>
            <w:r>
              <w:t xml:space="preserve"> requ</w:t>
            </w:r>
            <w:r>
              <w:t xml:space="preserve">ired under state law regarding the nature of </w:t>
            </w:r>
            <w:r w:rsidRPr="00920885">
              <w:t>those</w:t>
            </w:r>
            <w:r w:rsidR="00B4269F">
              <w:t xml:space="preserve"> ministries and</w:t>
            </w:r>
            <w:r>
              <w:t xml:space="preserve"> arrangements and the fact that they are not insurance.</w:t>
            </w:r>
          </w:p>
          <w:p w14:paraId="5C62E289" w14:textId="77777777" w:rsidR="00EE3788" w:rsidRDefault="00EE3788" w:rsidP="00F41A9D">
            <w:pPr>
              <w:pStyle w:val="Header"/>
              <w:jc w:val="both"/>
            </w:pPr>
          </w:p>
          <w:p w14:paraId="3389B108" w14:textId="77777777" w:rsidR="0061566D" w:rsidRDefault="009012C5" w:rsidP="00F41A9D">
            <w:pPr>
              <w:pStyle w:val="Header"/>
              <w:jc w:val="both"/>
            </w:pPr>
            <w:r w:rsidRPr="0061566D">
              <w:t>C.S.</w:t>
            </w:r>
            <w:r w:rsidR="00EE3788" w:rsidRPr="0061566D">
              <w:t xml:space="preserve">H.B. 2761 </w:t>
            </w:r>
            <w:r>
              <w:t>sets out disclosure form review requirements as follows:</w:t>
            </w:r>
          </w:p>
          <w:p w14:paraId="30B89D2A" w14:textId="0D33D2D0" w:rsidR="00EC4446" w:rsidRDefault="009012C5" w:rsidP="00F41A9D">
            <w:pPr>
              <w:pStyle w:val="Header"/>
              <w:numPr>
                <w:ilvl w:val="0"/>
                <w:numId w:val="3"/>
              </w:numPr>
              <w:jc w:val="both"/>
            </w:pPr>
            <w:r w:rsidRPr="0061566D">
              <w:t>requires an issuer</w:t>
            </w:r>
            <w:r>
              <w:t>,</w:t>
            </w:r>
            <w:r w:rsidR="001D5931">
              <w:t xml:space="preserve"> </w:t>
            </w:r>
            <w:r>
              <w:t>before selling, marketing, or providing one</w:t>
            </w:r>
            <w:r>
              <w:t xml:space="preserve"> of the following</w:t>
            </w:r>
            <w:r w:rsidR="00361A0F">
              <w:t xml:space="preserve"> insurance</w:t>
            </w:r>
            <w:r>
              <w:t xml:space="preserve"> products,</w:t>
            </w:r>
            <w:r w:rsidR="001D5931">
              <w:t xml:space="preserve"> to submit to TDI for approval in the manner prescribed by commissioner rule</w:t>
            </w:r>
            <w:r w:rsidR="00A768E7">
              <w:t xml:space="preserve"> a disclosure form on the </w:t>
            </w:r>
            <w:r>
              <w:t>product:</w:t>
            </w:r>
          </w:p>
          <w:p w14:paraId="5E24B118" w14:textId="182B39AD" w:rsidR="00EC4446" w:rsidRDefault="009012C5" w:rsidP="00F41A9D">
            <w:pPr>
              <w:pStyle w:val="Header"/>
              <w:numPr>
                <w:ilvl w:val="1"/>
                <w:numId w:val="3"/>
              </w:numPr>
              <w:jc w:val="both"/>
            </w:pPr>
            <w:r w:rsidRPr="0061566D">
              <w:t xml:space="preserve">an individual accident and health insurance policy or group accident and health insurance policy to which </w:t>
            </w:r>
            <w:r w:rsidRPr="0061566D">
              <w:t>the bill applies</w:t>
            </w:r>
            <w:r>
              <w:t>;</w:t>
            </w:r>
            <w:r w:rsidRPr="0061566D">
              <w:t xml:space="preserve"> or </w:t>
            </w:r>
          </w:p>
          <w:p w14:paraId="0A114499" w14:textId="5111FA70" w:rsidR="0061566D" w:rsidRDefault="009012C5" w:rsidP="00F41A9D">
            <w:pPr>
              <w:pStyle w:val="Header"/>
              <w:numPr>
                <w:ilvl w:val="1"/>
                <w:numId w:val="3"/>
              </w:numPr>
              <w:jc w:val="both"/>
            </w:pPr>
            <w:r w:rsidRPr="0061566D">
              <w:t>an insurance product tha</w:t>
            </w:r>
            <w:r w:rsidR="00FF6A57" w:rsidRPr="0061566D">
              <w:t xml:space="preserve">t </w:t>
            </w:r>
            <w:r w:rsidR="00F20D87" w:rsidRPr="0061566D">
              <w:t>the commissioner determines is or could be marketed as</w:t>
            </w:r>
            <w:r w:rsidR="00FF6A57" w:rsidRPr="0061566D">
              <w:t xml:space="preserve"> an alternative to major medical coverage</w:t>
            </w:r>
            <w:r w:rsidR="00476C36">
              <w:t>; and</w:t>
            </w:r>
          </w:p>
          <w:p w14:paraId="2E34BF15" w14:textId="717230ED" w:rsidR="0061566D" w:rsidRDefault="009012C5" w:rsidP="00F41A9D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requires an issuer that provides </w:t>
            </w:r>
            <w:r w:rsidR="00735277">
              <w:t>a consumer with</w:t>
            </w:r>
            <w:r>
              <w:t xml:space="preserve"> a plan or arrangement</w:t>
            </w:r>
            <w:r w:rsidR="00F20D87">
              <w:t xml:space="preserve"> </w:t>
            </w:r>
            <w:r w:rsidR="00735277">
              <w:t xml:space="preserve">that is </w:t>
            </w:r>
            <w:r>
              <w:t>subject to the bill's provis</w:t>
            </w:r>
            <w:r>
              <w:t>ions</w:t>
            </w:r>
            <w:r w:rsidR="00735277">
              <w:t xml:space="preserve"> but for which </w:t>
            </w:r>
            <w:r w:rsidR="006D4ED0">
              <w:t xml:space="preserve">form </w:t>
            </w:r>
            <w:r w:rsidR="00735277">
              <w:t>approval is not required</w:t>
            </w:r>
            <w:r>
              <w:t xml:space="preserve"> to submit </w:t>
            </w:r>
            <w:r w:rsidR="006B1269">
              <w:t>to TDI for informational</w:t>
            </w:r>
            <w:r w:rsidR="00FA3E52">
              <w:t xml:space="preserve"> purposes in the manner prescribed by commissioner rule</w:t>
            </w:r>
            <w:r w:rsidR="006B1269">
              <w:t xml:space="preserve"> </w:t>
            </w:r>
            <w:r w:rsidR="00FA3E52">
              <w:t xml:space="preserve">a </w:t>
            </w:r>
            <w:r>
              <w:t>disclosure form for</w:t>
            </w:r>
            <w:r w:rsidR="006B1269">
              <w:t xml:space="preserve"> each plan or arrangement offered by the issuer. </w:t>
            </w:r>
          </w:p>
          <w:p w14:paraId="58997C22" w14:textId="60289721" w:rsidR="00EE3788" w:rsidRDefault="009012C5" w:rsidP="00F41A9D">
            <w:pPr>
              <w:pStyle w:val="Header"/>
              <w:jc w:val="both"/>
            </w:pPr>
            <w:r>
              <w:t>Th</w:t>
            </w:r>
            <w:r w:rsidR="0061566D">
              <w:t>e</w:t>
            </w:r>
            <w:r>
              <w:t xml:space="preserve"> disclosure form</w:t>
            </w:r>
            <w:r w:rsidR="00FA3E52">
              <w:t>s</w:t>
            </w:r>
            <w:r>
              <w:t xml:space="preserve"> must use the applicable template prescribed by the commissioner</w:t>
            </w:r>
            <w:r w:rsidR="00A65825">
              <w:t>,</w:t>
            </w:r>
            <w:r>
              <w:t xml:space="preserve"> but an issuer may modify the template for a plan or arrangement that is not able to be accurately represented by the template. The bill requires an issuer who modifies the template to </w:t>
            </w:r>
            <w:r w:rsidRPr="00CC7FA1">
              <w:t>clearl</w:t>
            </w:r>
            <w:r w:rsidRPr="00CC7FA1">
              <w:t>y</w:t>
            </w:r>
            <w:r>
              <w:t xml:space="preserve"> identify any changes made and explain the reason for those changes when submitting the form. The bill requires TDI to approve a disclosure form if </w:t>
            </w:r>
            <w:r w:rsidR="00A65825">
              <w:t>it</w:t>
            </w:r>
            <w:r>
              <w:t xml:space="preserve"> uses the appropriate template and accurately describes the plan or arrangement in a manner that is easil</w:t>
            </w:r>
            <w:r>
              <w:t>y understandable to a consumer.</w:t>
            </w:r>
          </w:p>
          <w:p w14:paraId="133C0071" w14:textId="77777777" w:rsidR="00EE3788" w:rsidRDefault="00EE3788" w:rsidP="00F41A9D">
            <w:pPr>
              <w:pStyle w:val="Header"/>
              <w:jc w:val="both"/>
            </w:pPr>
          </w:p>
          <w:p w14:paraId="7FE9AB97" w14:textId="05D2BD08" w:rsidR="00FA689C" w:rsidRDefault="009012C5" w:rsidP="00F41A9D">
            <w:pPr>
              <w:pStyle w:val="Header"/>
              <w:jc w:val="both"/>
            </w:pPr>
            <w:r>
              <w:t>C.S.</w:t>
            </w:r>
            <w:r w:rsidR="00EE3788">
              <w:t xml:space="preserve">H.B. 2761 requires </w:t>
            </w:r>
            <w:r w:rsidR="00EE3788" w:rsidRPr="00AC1C5E">
              <w:t>an issuer</w:t>
            </w:r>
            <w:r w:rsidR="00EE3788">
              <w:t xml:space="preserve"> to provide to a consumer </w:t>
            </w:r>
            <w:r w:rsidR="006D4ED0">
              <w:t xml:space="preserve">the disclosure form submitted to TDI along with an application, if applicable, </w:t>
            </w:r>
            <w:r>
              <w:t>on the following occasions:</w:t>
            </w:r>
          </w:p>
          <w:p w14:paraId="4268B711" w14:textId="77777777" w:rsidR="00FA689C" w:rsidRDefault="009012C5" w:rsidP="00F41A9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before the earliest of the time that the consumer complete</w:t>
            </w:r>
            <w:r>
              <w:t xml:space="preserve">s an application, makes an initial premium payment, or makes any other payment in connection with coverage under or participation in </w:t>
            </w:r>
            <w:r w:rsidRPr="00AC1C5E">
              <w:t>the health benefit plan or health expense arrangement</w:t>
            </w:r>
            <w:r>
              <w:t xml:space="preserve">; and </w:t>
            </w:r>
          </w:p>
          <w:p w14:paraId="4643E0B7" w14:textId="77777777" w:rsidR="00EE3788" w:rsidRDefault="009012C5" w:rsidP="00F41A9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at the time the policy, certificate, or arrangement is issued o</w:t>
            </w:r>
            <w:r>
              <w:t>r entered into</w:t>
            </w:r>
            <w:r w:rsidR="00FA689C">
              <w:t>.</w:t>
            </w:r>
          </w:p>
          <w:p w14:paraId="2B2DD1D4" w14:textId="006ECC8B" w:rsidR="00573126" w:rsidRDefault="009012C5" w:rsidP="00F41A9D">
            <w:pPr>
              <w:pStyle w:val="Header"/>
              <w:jc w:val="both"/>
            </w:pPr>
            <w:r>
              <w:t>The</w:t>
            </w:r>
            <w:r w:rsidRPr="00FA689C">
              <w:t xml:space="preserve"> issuer </w:t>
            </w:r>
            <w:r>
              <w:t>must</w:t>
            </w:r>
            <w:r w:rsidRPr="00FA689C">
              <w:t xml:space="preserve"> ensure that a consumer signs the disclosure form before the issuer accepts an application or payment for or issues or enters into the plan or arrangement. An electronic signature must comply with </w:t>
            </w:r>
            <w:r>
              <w:t>applicable rules and state l</w:t>
            </w:r>
            <w:r>
              <w:t>aw</w:t>
            </w:r>
            <w:r w:rsidRPr="00FA689C">
              <w:t>.</w:t>
            </w:r>
            <w:r w:rsidR="00792A4B">
              <w:t xml:space="preserve"> The bill</w:t>
            </w:r>
            <w:r>
              <w:t xml:space="preserve"> requires an issuer to </w:t>
            </w:r>
            <w:r w:rsidRPr="00FA689C">
              <w:t>retain a signed disclosure form until the fifth anniversary of the dat</w:t>
            </w:r>
            <w:r>
              <w:t xml:space="preserve">e the issuer receives the form </w:t>
            </w:r>
            <w:r w:rsidRPr="00FA689C">
              <w:t xml:space="preserve">and </w:t>
            </w:r>
            <w:r>
              <w:t>to</w:t>
            </w:r>
            <w:r w:rsidRPr="00FA689C">
              <w:t xml:space="preserve"> make the form available to </w:t>
            </w:r>
            <w:r>
              <w:t>TDI</w:t>
            </w:r>
            <w:r w:rsidRPr="00FA689C">
              <w:t xml:space="preserve"> on request.</w:t>
            </w:r>
            <w:r>
              <w:t xml:space="preserve"> </w:t>
            </w:r>
          </w:p>
          <w:p w14:paraId="426A6045" w14:textId="115C60AB" w:rsidR="00792A4B" w:rsidRDefault="00792A4B" w:rsidP="00F41A9D">
            <w:pPr>
              <w:pStyle w:val="Header"/>
              <w:jc w:val="both"/>
            </w:pPr>
          </w:p>
          <w:p w14:paraId="1FF52B5B" w14:textId="2C9E7981" w:rsidR="00792A4B" w:rsidRPr="009C36CD" w:rsidRDefault="009012C5" w:rsidP="00F41A9D">
            <w:pPr>
              <w:pStyle w:val="Header"/>
              <w:jc w:val="both"/>
            </w:pPr>
            <w:r>
              <w:t xml:space="preserve">C.S.H.B. 2761 </w:t>
            </w:r>
            <w:r w:rsidR="00920885">
              <w:t xml:space="preserve">authorizes TDI to take an enforcement action against an issuer that violates the bill's provisions. The bill </w:t>
            </w:r>
            <w:r w:rsidR="003D6CED">
              <w:t xml:space="preserve">grants the commissioner rulemaking authority to implement the bill's provisions and </w:t>
            </w:r>
            <w:r>
              <w:t xml:space="preserve">requires the commissioner to adopt rules necessary </w:t>
            </w:r>
            <w:r w:rsidR="003D6CED">
              <w:t xml:space="preserve">for that </w:t>
            </w:r>
            <w:r w:rsidR="00920885">
              <w:t>implementation</w:t>
            </w:r>
            <w:r>
              <w:t xml:space="preserve"> not later than </w:t>
            </w:r>
            <w:r w:rsidR="006B1269">
              <w:t>September</w:t>
            </w:r>
            <w:r>
              <w:t xml:space="preserve"> 1, 2022. </w:t>
            </w:r>
            <w:r w:rsidR="00B4269F">
              <w:t xml:space="preserve">Those rules are not subject to </w:t>
            </w:r>
            <w:r w:rsidR="00404564">
              <w:t xml:space="preserve">the </w:t>
            </w:r>
            <w:r w:rsidR="00B4269F">
              <w:t xml:space="preserve">requirement for rules increasing costs to regulated persons. </w:t>
            </w:r>
            <w:r>
              <w:t>The bill applies only to</w:t>
            </w:r>
            <w:r w:rsidR="001869D6">
              <w:t xml:space="preserve"> a</w:t>
            </w:r>
            <w:r>
              <w:t xml:space="preserve"> </w:t>
            </w:r>
            <w:r w:rsidRPr="00792A4B">
              <w:t xml:space="preserve">health benefit plan or health expense arrangement delivered, issued for delivery, entered into, or renewed on or after </w:t>
            </w:r>
            <w:r w:rsidR="006B1269">
              <w:t>September</w:t>
            </w:r>
            <w:r w:rsidRPr="00792A4B">
              <w:t xml:space="preserve"> 1, 2022</w:t>
            </w:r>
            <w:r>
              <w:t>.</w:t>
            </w:r>
          </w:p>
          <w:p w14:paraId="3544417D" w14:textId="77777777" w:rsidR="008423E4" w:rsidRPr="00835628" w:rsidRDefault="008423E4" w:rsidP="00F41A9D">
            <w:pPr>
              <w:rPr>
                <w:b/>
              </w:rPr>
            </w:pPr>
          </w:p>
        </w:tc>
      </w:tr>
      <w:tr w:rsidR="005302B2" w14:paraId="76A3FD73" w14:textId="77777777" w:rsidTr="00F41A9D">
        <w:tc>
          <w:tcPr>
            <w:tcW w:w="9360" w:type="dxa"/>
          </w:tcPr>
          <w:p w14:paraId="5A084104" w14:textId="52F4E0AD" w:rsidR="008423E4" w:rsidRPr="00A8133F" w:rsidRDefault="009012C5" w:rsidP="00F41A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9B32B0C" w14:textId="77777777" w:rsidR="008423E4" w:rsidRDefault="008423E4" w:rsidP="00F41A9D"/>
          <w:p w14:paraId="398710C0" w14:textId="2CC793A6" w:rsidR="008423E4" w:rsidRPr="003624F2" w:rsidRDefault="009012C5" w:rsidP="00F41A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D9A61BB" w14:textId="77777777" w:rsidR="008423E4" w:rsidRPr="00233FDB" w:rsidRDefault="008423E4" w:rsidP="00F41A9D">
            <w:pPr>
              <w:rPr>
                <w:b/>
              </w:rPr>
            </w:pPr>
          </w:p>
        </w:tc>
      </w:tr>
      <w:tr w:rsidR="005302B2" w14:paraId="4E39269B" w14:textId="77777777" w:rsidTr="00F41A9D">
        <w:tc>
          <w:tcPr>
            <w:tcW w:w="9360" w:type="dxa"/>
          </w:tcPr>
          <w:p w14:paraId="1C4355A7" w14:textId="77777777" w:rsidR="00765708" w:rsidRDefault="009012C5" w:rsidP="00F41A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7813328" w14:textId="31D8D29D" w:rsidR="006B1269" w:rsidRDefault="006B1269" w:rsidP="00F41A9D">
            <w:pPr>
              <w:jc w:val="both"/>
            </w:pPr>
          </w:p>
          <w:p w14:paraId="3DB4985F" w14:textId="5484D9B4" w:rsidR="006B1269" w:rsidRDefault="009012C5" w:rsidP="00F41A9D">
            <w:pPr>
              <w:jc w:val="both"/>
            </w:pPr>
            <w:r>
              <w:t xml:space="preserve">While C.S.H.B. 2761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07A09E7E" w14:textId="35103F14" w:rsidR="00CB6646" w:rsidRDefault="00CB6646" w:rsidP="00F41A9D">
            <w:pPr>
              <w:jc w:val="both"/>
            </w:pPr>
          </w:p>
          <w:p w14:paraId="2CA489F6" w14:textId="56A81A30" w:rsidR="00B4269F" w:rsidRDefault="009012C5" w:rsidP="00F41A9D">
            <w:pPr>
              <w:jc w:val="both"/>
            </w:pPr>
            <w:r>
              <w:t xml:space="preserve">The substitute </w:t>
            </w:r>
            <w:r w:rsidR="006C513D">
              <w:t xml:space="preserve">changes the </w:t>
            </w:r>
            <w:r w:rsidR="00277730">
              <w:t>provision</w:t>
            </w:r>
            <w:r w:rsidR="00C0268A">
              <w:t>s</w:t>
            </w:r>
            <w:r w:rsidR="00277730">
              <w:t xml:space="preserve"> in the original that establishe</w:t>
            </w:r>
            <w:r w:rsidR="00DA0577">
              <w:t>d</w:t>
            </w:r>
            <w:r w:rsidR="00277730">
              <w:t xml:space="preserve"> the applicability of the bill's provisions</w:t>
            </w:r>
            <w:r>
              <w:t xml:space="preserve"> as follows:</w:t>
            </w:r>
          </w:p>
          <w:p w14:paraId="7C1E5B95" w14:textId="77777777" w:rsidR="00B4269F" w:rsidRDefault="009012C5" w:rsidP="00F41A9D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does not include individual health maintenance organization coverage;</w:t>
            </w:r>
          </w:p>
          <w:p w14:paraId="5559A779" w14:textId="77777777" w:rsidR="00B4269F" w:rsidRDefault="009012C5" w:rsidP="00F41A9D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limits the circumstances u</w:t>
            </w:r>
            <w:r>
              <w:t>nder which an individual accident and health insurance policy or a group accident and health insurance policy is subject to the bill's provisions;</w:t>
            </w:r>
          </w:p>
          <w:p w14:paraId="411E5966" w14:textId="3AB9DB73" w:rsidR="00B47CC0" w:rsidRDefault="009012C5" w:rsidP="00F41A9D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limits the applicable direct primary care arrangements to those sold or marketed by a person other than a phy</w:t>
            </w:r>
            <w:r>
              <w:t>sician contracting directly with a patient;</w:t>
            </w:r>
          </w:p>
          <w:p w14:paraId="4CC3BB95" w14:textId="77777777" w:rsidR="00856787" w:rsidRDefault="009012C5" w:rsidP="00F41A9D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includes a plan or arrangement the commissioner determines is or could be marketed as an alternative to major medical coverage; and</w:t>
            </w:r>
          </w:p>
          <w:p w14:paraId="4B50ABEB" w14:textId="0A017DFE" w:rsidR="00CB6646" w:rsidRDefault="009012C5" w:rsidP="00F41A9D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does not include a plan or arrangement that the commissioner determines is or co</w:t>
            </w:r>
            <w:r>
              <w:t xml:space="preserve">uld be marketed as an alternative or supplement to </w:t>
            </w:r>
            <w:r w:rsidRPr="00856787">
              <w:t>an employer-provided health benefit plan or health benefit plan coverage regulated under the</w:t>
            </w:r>
            <w:r w:rsidR="00C0268A">
              <w:t xml:space="preserve"> federal</w:t>
            </w:r>
            <w:r w:rsidRPr="00856787">
              <w:t xml:space="preserve"> Patient Protection and Affordable Care Act</w:t>
            </w:r>
            <w:r>
              <w:t>.</w:t>
            </w:r>
          </w:p>
          <w:p w14:paraId="3AF930FC" w14:textId="0FCCD8C7" w:rsidR="00277730" w:rsidRDefault="00277730" w:rsidP="00F41A9D">
            <w:pPr>
              <w:jc w:val="both"/>
            </w:pPr>
          </w:p>
          <w:p w14:paraId="40A4F347" w14:textId="454950CC" w:rsidR="00277730" w:rsidRDefault="009012C5" w:rsidP="00F41A9D">
            <w:pPr>
              <w:jc w:val="both"/>
            </w:pPr>
            <w:r>
              <w:t>The substitute includes a provision that was not in the ori</w:t>
            </w:r>
            <w:r>
              <w:t>ginal exempting the commissioner's rules from</w:t>
            </w:r>
            <w:r w:rsidR="00B47CC0">
              <w:t xml:space="preserve"> </w:t>
            </w:r>
            <w:r>
              <w:t xml:space="preserve">the </w:t>
            </w:r>
            <w:r w:rsidR="00147FBA">
              <w:t>requirement for rules increasing costs to regulated persons.</w:t>
            </w:r>
          </w:p>
          <w:p w14:paraId="7C004C18" w14:textId="27EEFEBD" w:rsidR="00147FBA" w:rsidRDefault="00147FBA" w:rsidP="00F41A9D">
            <w:pPr>
              <w:jc w:val="both"/>
            </w:pPr>
          </w:p>
          <w:p w14:paraId="16AF502F" w14:textId="5F4341C7" w:rsidR="00147FBA" w:rsidRDefault="009012C5" w:rsidP="00F41A9D">
            <w:pPr>
              <w:jc w:val="both"/>
            </w:pPr>
            <w:r>
              <w:t>The substitute</w:t>
            </w:r>
            <w:r w:rsidR="006E09B8">
              <w:t xml:space="preserve"> replaces the original's requirement for a template to include certain information with an authorization for the template to include that information</w:t>
            </w:r>
            <w:r w:rsidR="00DA0577">
              <w:t>, if applicable,</w:t>
            </w:r>
            <w:r w:rsidR="006E09B8">
              <w:t xml:space="preserve"> and</w:t>
            </w:r>
            <w:r>
              <w:t xml:space="preserve"> </w:t>
            </w:r>
            <w:r w:rsidR="006E09B8">
              <w:t>makes certain revisions to the content.</w:t>
            </w:r>
          </w:p>
          <w:p w14:paraId="242F1587" w14:textId="211663DE" w:rsidR="00BE2F69" w:rsidRDefault="00BE2F69" w:rsidP="00F41A9D">
            <w:pPr>
              <w:jc w:val="both"/>
            </w:pPr>
          </w:p>
          <w:p w14:paraId="7301FD82" w14:textId="323F5D83" w:rsidR="00BE2F69" w:rsidRDefault="009012C5" w:rsidP="00F41A9D">
            <w:pPr>
              <w:jc w:val="both"/>
            </w:pPr>
            <w:r>
              <w:t xml:space="preserve">The substitute includes a requirement that was not in the original for TDI to </w:t>
            </w:r>
            <w:r w:rsidR="001A328A" w:rsidRPr="001A328A">
              <w:t>incorporate the content for an outline of coverage into the template</w:t>
            </w:r>
            <w:r w:rsidR="0048662F">
              <w:t xml:space="preserve"> for a policy, if applicable</w:t>
            </w:r>
            <w:r w:rsidR="001A328A" w:rsidRPr="001A328A">
              <w:t>.</w:t>
            </w:r>
            <w:r w:rsidR="001A328A">
              <w:t xml:space="preserve"> </w:t>
            </w:r>
          </w:p>
          <w:p w14:paraId="64B61322" w14:textId="62337B3A" w:rsidR="001A328A" w:rsidRDefault="001A328A" w:rsidP="00F41A9D">
            <w:pPr>
              <w:jc w:val="both"/>
            </w:pPr>
          </w:p>
          <w:p w14:paraId="6CDC2A05" w14:textId="2D407E34" w:rsidR="00E0115A" w:rsidRDefault="009012C5" w:rsidP="00F41A9D">
            <w:pPr>
              <w:jc w:val="both"/>
            </w:pPr>
            <w:r>
              <w:t>The original</w:t>
            </w:r>
            <w:r>
              <w:t xml:space="preserve"> required an issuer, before selling, marketing, or providing any plan or arrangement to which the bill applies, to submit to TDI for approval a disclosure form for each plan or arrangement offered by the issuer. The substitute requires disclosure forms to </w:t>
            </w:r>
            <w:r>
              <w:t xml:space="preserve">be submitted for approval only for specified types of </w:t>
            </w:r>
            <w:r w:rsidR="00220FFC">
              <w:t xml:space="preserve">insurance </w:t>
            </w:r>
            <w:r>
              <w:t xml:space="preserve">products and requires disclosure forms for other applicable plans or arrangements to be submitted to TDI for informational purposes. </w:t>
            </w:r>
          </w:p>
          <w:p w14:paraId="78CBD59F" w14:textId="7F134A85" w:rsidR="00E0115A" w:rsidRDefault="00E0115A" w:rsidP="00F41A9D">
            <w:pPr>
              <w:jc w:val="both"/>
            </w:pPr>
          </w:p>
          <w:p w14:paraId="1D7665DD" w14:textId="0F327328" w:rsidR="00220FFC" w:rsidRDefault="009012C5" w:rsidP="00F41A9D">
            <w:pPr>
              <w:jc w:val="both"/>
            </w:pPr>
            <w:r>
              <w:t>The substitute includes a requirement</w:t>
            </w:r>
            <w:r w:rsidR="00386FF3">
              <w:t xml:space="preserve"> that was</w:t>
            </w:r>
            <w:r>
              <w:t xml:space="preserve"> not in the</w:t>
            </w:r>
            <w:r>
              <w:t xml:space="preserve"> original for an issuer to provide an application, if applicable, on the same occasions that an issuer is required to provide a disclosure form. </w:t>
            </w:r>
          </w:p>
          <w:p w14:paraId="462BB9CA" w14:textId="77777777" w:rsidR="00220FFC" w:rsidRDefault="00220FFC" w:rsidP="00F41A9D">
            <w:pPr>
              <w:jc w:val="both"/>
            </w:pPr>
          </w:p>
          <w:p w14:paraId="187FFCC5" w14:textId="1E3661BE" w:rsidR="000209FC" w:rsidRDefault="009012C5" w:rsidP="00F41A9D">
            <w:pPr>
              <w:jc w:val="both"/>
            </w:pPr>
            <w:r>
              <w:t>The substitute changes</w:t>
            </w:r>
            <w:r w:rsidR="000D709B">
              <w:t xml:space="preserve"> </w:t>
            </w:r>
            <w:r w:rsidR="000D709B" w:rsidRPr="000D709B">
              <w:t>from January 1, 2022</w:t>
            </w:r>
            <w:r w:rsidR="009F3161">
              <w:t>,</w:t>
            </w:r>
            <w:r w:rsidR="000D709B" w:rsidRPr="000D709B">
              <w:t xml:space="preserve"> in the </w:t>
            </w:r>
            <w:r w:rsidR="000D709B">
              <w:t>original, to September 1, 2022,</w:t>
            </w:r>
            <w:r>
              <w:t xml:space="preserve"> the </w:t>
            </w:r>
            <w:r w:rsidR="009F3161">
              <w:t xml:space="preserve">deadline </w:t>
            </w:r>
            <w:r>
              <w:t>by which the</w:t>
            </w:r>
            <w:r>
              <w:t xml:space="preserve"> commissioner is required to adopt rules necessary to implement </w:t>
            </w:r>
            <w:r w:rsidR="000D709B">
              <w:t>the b</w:t>
            </w:r>
            <w:r>
              <w:t>ill's provisions.</w:t>
            </w:r>
          </w:p>
          <w:p w14:paraId="59139675" w14:textId="77777777" w:rsidR="000209FC" w:rsidRDefault="000209FC" w:rsidP="00F41A9D">
            <w:pPr>
              <w:jc w:val="both"/>
            </w:pPr>
          </w:p>
          <w:p w14:paraId="221EDE88" w14:textId="2A3CA50D" w:rsidR="00E0115A" w:rsidRDefault="009012C5" w:rsidP="00F41A9D">
            <w:pPr>
              <w:jc w:val="both"/>
            </w:pPr>
            <w:r>
              <w:t>The original includes a procedural provision making the bill's provisions applicable to</w:t>
            </w:r>
            <w:r w:rsidRPr="000209FC">
              <w:t xml:space="preserve"> a health benefit plan or health expense arrangement delivered, issued for delive</w:t>
            </w:r>
            <w:r w:rsidRPr="000209FC">
              <w:t xml:space="preserve">ry, entered into, </w:t>
            </w:r>
            <w:r>
              <w:t>or renewed on or after January</w:t>
            </w:r>
            <w:r w:rsidRPr="000209FC">
              <w:t xml:space="preserve"> 1, 2022.</w:t>
            </w:r>
            <w:r>
              <w:t xml:space="preserve"> The substitute changes that date to September 1, 2022.</w:t>
            </w:r>
          </w:p>
          <w:p w14:paraId="6E8DBA83" w14:textId="45F34AA0" w:rsidR="006B1269" w:rsidRPr="006B1269" w:rsidRDefault="006B1269" w:rsidP="00F41A9D">
            <w:pPr>
              <w:jc w:val="both"/>
            </w:pPr>
          </w:p>
        </w:tc>
      </w:tr>
    </w:tbl>
    <w:p w14:paraId="0C3F1FAA" w14:textId="77777777" w:rsidR="008423E4" w:rsidRPr="00F41A9D" w:rsidRDefault="008423E4" w:rsidP="00F41A9D">
      <w:pPr>
        <w:jc w:val="both"/>
        <w:rPr>
          <w:rFonts w:ascii="Arial" w:hAnsi="Arial"/>
          <w:sz w:val="14"/>
          <w:szCs w:val="16"/>
        </w:rPr>
      </w:pPr>
    </w:p>
    <w:sectPr w:rsidR="008423E4" w:rsidRPr="00F41A9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B71E" w14:textId="77777777" w:rsidR="00000000" w:rsidRDefault="009012C5">
      <w:r>
        <w:separator/>
      </w:r>
    </w:p>
  </w:endnote>
  <w:endnote w:type="continuationSeparator" w:id="0">
    <w:p w14:paraId="177358FC" w14:textId="77777777" w:rsidR="00000000" w:rsidRDefault="009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3CD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02B2" w14:paraId="7F4E185A" w14:textId="77777777" w:rsidTr="009C1E9A">
      <w:trPr>
        <w:cantSplit/>
      </w:trPr>
      <w:tc>
        <w:tcPr>
          <w:tcW w:w="0" w:type="pct"/>
        </w:tcPr>
        <w:p w14:paraId="269F5D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DBF4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51E21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5AE9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AED5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02B2" w14:paraId="478FB0EA" w14:textId="77777777" w:rsidTr="009C1E9A">
      <w:trPr>
        <w:cantSplit/>
      </w:trPr>
      <w:tc>
        <w:tcPr>
          <w:tcW w:w="0" w:type="pct"/>
        </w:tcPr>
        <w:p w14:paraId="72093B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4D6125" w14:textId="36A6CBD0" w:rsidR="00EC379B" w:rsidRPr="009C1E9A" w:rsidRDefault="009012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20237</w:t>
          </w:r>
        </w:p>
      </w:tc>
      <w:tc>
        <w:tcPr>
          <w:tcW w:w="2453" w:type="pct"/>
        </w:tcPr>
        <w:p w14:paraId="1E94A521" w14:textId="4D5E13B0" w:rsidR="00EC379B" w:rsidRDefault="009012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5483D">
            <w:t>21.106.2171</w:t>
          </w:r>
          <w:r>
            <w:fldChar w:fldCharType="end"/>
          </w:r>
        </w:p>
      </w:tc>
    </w:tr>
    <w:tr w:rsidR="005302B2" w14:paraId="3D3ABAEE" w14:textId="77777777" w:rsidTr="009C1E9A">
      <w:trPr>
        <w:cantSplit/>
      </w:trPr>
      <w:tc>
        <w:tcPr>
          <w:tcW w:w="0" w:type="pct"/>
        </w:tcPr>
        <w:p w14:paraId="6E82D73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888EB7" w14:textId="4C7EF932" w:rsidR="00EC379B" w:rsidRPr="009C1E9A" w:rsidRDefault="009012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18195</w:t>
          </w:r>
        </w:p>
      </w:tc>
      <w:tc>
        <w:tcPr>
          <w:tcW w:w="2453" w:type="pct"/>
        </w:tcPr>
        <w:p w14:paraId="0DD7BBA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46BF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02B2" w14:paraId="779131B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2200CC" w14:textId="43B9D147" w:rsidR="00EC379B" w:rsidRDefault="009012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41A9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60855E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2CE8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37F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B4B9" w14:textId="77777777" w:rsidR="00000000" w:rsidRDefault="009012C5">
      <w:r>
        <w:separator/>
      </w:r>
    </w:p>
  </w:footnote>
  <w:footnote w:type="continuationSeparator" w:id="0">
    <w:p w14:paraId="625B9B7F" w14:textId="77777777" w:rsidR="00000000" w:rsidRDefault="0090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2AB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32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040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183"/>
    <w:multiLevelType w:val="hybridMultilevel"/>
    <w:tmpl w:val="01DEDA3A"/>
    <w:lvl w:ilvl="0" w:tplc="66A65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6D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626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EF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2E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AB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87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64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ED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148"/>
    <w:multiLevelType w:val="hybridMultilevel"/>
    <w:tmpl w:val="A3568E70"/>
    <w:lvl w:ilvl="0" w:tplc="FAA08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FF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E48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9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27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1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B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6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C3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1C80"/>
    <w:multiLevelType w:val="hybridMultilevel"/>
    <w:tmpl w:val="17740FC0"/>
    <w:lvl w:ilvl="0" w:tplc="94028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0F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CB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9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2C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A1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26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67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09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045FE"/>
    <w:multiLevelType w:val="hybridMultilevel"/>
    <w:tmpl w:val="AB28C6AE"/>
    <w:lvl w:ilvl="0" w:tplc="DF36A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40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4F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2D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48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42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B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C1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9FC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146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4E8"/>
    <w:rsid w:val="000676A7"/>
    <w:rsid w:val="00073914"/>
    <w:rsid w:val="00074236"/>
    <w:rsid w:val="000746BD"/>
    <w:rsid w:val="00076D7D"/>
    <w:rsid w:val="00077FBF"/>
    <w:rsid w:val="00080D95"/>
    <w:rsid w:val="00090E6B"/>
    <w:rsid w:val="00091B2C"/>
    <w:rsid w:val="00092ABC"/>
    <w:rsid w:val="0009397E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09B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6E95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615"/>
    <w:rsid w:val="001312BB"/>
    <w:rsid w:val="00137D90"/>
    <w:rsid w:val="00141FB6"/>
    <w:rsid w:val="00142F8E"/>
    <w:rsid w:val="00143C8B"/>
    <w:rsid w:val="00147530"/>
    <w:rsid w:val="00147FBA"/>
    <w:rsid w:val="0015331F"/>
    <w:rsid w:val="00156AB2"/>
    <w:rsid w:val="00160402"/>
    <w:rsid w:val="00160571"/>
    <w:rsid w:val="00161E93"/>
    <w:rsid w:val="001623D1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9D6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943"/>
    <w:rsid w:val="001A2BDD"/>
    <w:rsid w:val="001A328A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44F"/>
    <w:rsid w:val="001D462E"/>
    <w:rsid w:val="001D5931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FFC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975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730"/>
    <w:rsid w:val="00280123"/>
    <w:rsid w:val="00281343"/>
    <w:rsid w:val="00281883"/>
    <w:rsid w:val="002874E3"/>
    <w:rsid w:val="00287656"/>
    <w:rsid w:val="00287E5F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EE6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A0F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FF3"/>
    <w:rsid w:val="0038731D"/>
    <w:rsid w:val="00387B60"/>
    <w:rsid w:val="00390098"/>
    <w:rsid w:val="00392DA1"/>
    <w:rsid w:val="00393718"/>
    <w:rsid w:val="003A0296"/>
    <w:rsid w:val="003A10BC"/>
    <w:rsid w:val="003A41B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CE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56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C36"/>
    <w:rsid w:val="00480080"/>
    <w:rsid w:val="004824A7"/>
    <w:rsid w:val="00483AF0"/>
    <w:rsid w:val="00484167"/>
    <w:rsid w:val="0048662F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A8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58D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229"/>
    <w:rsid w:val="0051324D"/>
    <w:rsid w:val="00515466"/>
    <w:rsid w:val="005154F7"/>
    <w:rsid w:val="005159DE"/>
    <w:rsid w:val="005269CE"/>
    <w:rsid w:val="005302B2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DA8"/>
    <w:rsid w:val="005570D2"/>
    <w:rsid w:val="0056153F"/>
    <w:rsid w:val="00561B14"/>
    <w:rsid w:val="00562C87"/>
    <w:rsid w:val="005636BD"/>
    <w:rsid w:val="005666D5"/>
    <w:rsid w:val="005669A7"/>
    <w:rsid w:val="00573126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533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66D"/>
    <w:rsid w:val="00617411"/>
    <w:rsid w:val="006249CB"/>
    <w:rsid w:val="00625F86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7EF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69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13D"/>
    <w:rsid w:val="006D3005"/>
    <w:rsid w:val="006D4ED0"/>
    <w:rsid w:val="006D504F"/>
    <w:rsid w:val="006E09B8"/>
    <w:rsid w:val="006E0CAC"/>
    <w:rsid w:val="006E1CFB"/>
    <w:rsid w:val="006E1F94"/>
    <w:rsid w:val="006E26C1"/>
    <w:rsid w:val="006E30A8"/>
    <w:rsid w:val="006E43A0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277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3D8"/>
    <w:rsid w:val="00755C7B"/>
    <w:rsid w:val="00764786"/>
    <w:rsid w:val="00765708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A4B"/>
    <w:rsid w:val="0079487D"/>
    <w:rsid w:val="007966D4"/>
    <w:rsid w:val="00796A0A"/>
    <w:rsid w:val="0079792C"/>
    <w:rsid w:val="00797945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73F"/>
    <w:rsid w:val="007D7FCB"/>
    <w:rsid w:val="007E33B6"/>
    <w:rsid w:val="007E59E8"/>
    <w:rsid w:val="007F3861"/>
    <w:rsid w:val="007F4162"/>
    <w:rsid w:val="007F5441"/>
    <w:rsid w:val="007F7668"/>
    <w:rsid w:val="00800C63"/>
    <w:rsid w:val="00800DD4"/>
    <w:rsid w:val="00802243"/>
    <w:rsid w:val="008023D4"/>
    <w:rsid w:val="00805402"/>
    <w:rsid w:val="0080765F"/>
    <w:rsid w:val="00807F26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1F3"/>
    <w:rsid w:val="0084176D"/>
    <w:rsid w:val="00841F21"/>
    <w:rsid w:val="008423E4"/>
    <w:rsid w:val="00842900"/>
    <w:rsid w:val="00850CF0"/>
    <w:rsid w:val="00851869"/>
    <w:rsid w:val="00851C04"/>
    <w:rsid w:val="008531A1"/>
    <w:rsid w:val="00853A94"/>
    <w:rsid w:val="008547A3"/>
    <w:rsid w:val="00856787"/>
    <w:rsid w:val="00857097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F36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ADF"/>
    <w:rsid w:val="008F09DF"/>
    <w:rsid w:val="008F2406"/>
    <w:rsid w:val="008F3053"/>
    <w:rsid w:val="008F3136"/>
    <w:rsid w:val="008F40DF"/>
    <w:rsid w:val="008F5E16"/>
    <w:rsid w:val="008F5EFC"/>
    <w:rsid w:val="009012C5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885"/>
    <w:rsid w:val="00921A1E"/>
    <w:rsid w:val="009220DB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6E0"/>
    <w:rsid w:val="0096482F"/>
    <w:rsid w:val="00964E3A"/>
    <w:rsid w:val="00967126"/>
    <w:rsid w:val="00970E3D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6DF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161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1A1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ECC"/>
    <w:rsid w:val="00A54142"/>
    <w:rsid w:val="00A54C42"/>
    <w:rsid w:val="00A572B1"/>
    <w:rsid w:val="00A577AF"/>
    <w:rsid w:val="00A60177"/>
    <w:rsid w:val="00A60608"/>
    <w:rsid w:val="00A61C27"/>
    <w:rsid w:val="00A6344D"/>
    <w:rsid w:val="00A644B8"/>
    <w:rsid w:val="00A65825"/>
    <w:rsid w:val="00A70E35"/>
    <w:rsid w:val="00A720DC"/>
    <w:rsid w:val="00A768E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C5E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B9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ADC"/>
    <w:rsid w:val="00B25612"/>
    <w:rsid w:val="00B26437"/>
    <w:rsid w:val="00B2678E"/>
    <w:rsid w:val="00B30647"/>
    <w:rsid w:val="00B31F0E"/>
    <w:rsid w:val="00B34F25"/>
    <w:rsid w:val="00B4269F"/>
    <w:rsid w:val="00B43672"/>
    <w:rsid w:val="00B473D8"/>
    <w:rsid w:val="00B47CC0"/>
    <w:rsid w:val="00B5165A"/>
    <w:rsid w:val="00B524C1"/>
    <w:rsid w:val="00B52C8D"/>
    <w:rsid w:val="00B564BF"/>
    <w:rsid w:val="00B6104E"/>
    <w:rsid w:val="00B610C7"/>
    <w:rsid w:val="00B62106"/>
    <w:rsid w:val="00B626A8"/>
    <w:rsid w:val="00B636E5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5F01"/>
    <w:rsid w:val="00B96E87"/>
    <w:rsid w:val="00BA146A"/>
    <w:rsid w:val="00BA26C6"/>
    <w:rsid w:val="00BA32EE"/>
    <w:rsid w:val="00BB5B36"/>
    <w:rsid w:val="00BC027B"/>
    <w:rsid w:val="00BC1753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83F"/>
    <w:rsid w:val="00BE00CD"/>
    <w:rsid w:val="00BE0E75"/>
    <w:rsid w:val="00BE1789"/>
    <w:rsid w:val="00BE2F6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68A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646"/>
    <w:rsid w:val="00CB74CB"/>
    <w:rsid w:val="00CB7E04"/>
    <w:rsid w:val="00CC24B7"/>
    <w:rsid w:val="00CC7131"/>
    <w:rsid w:val="00CC7B9E"/>
    <w:rsid w:val="00CC7FA1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2FB"/>
    <w:rsid w:val="00CF4827"/>
    <w:rsid w:val="00CF4C69"/>
    <w:rsid w:val="00CF581C"/>
    <w:rsid w:val="00CF71E0"/>
    <w:rsid w:val="00D001B1"/>
    <w:rsid w:val="00D03176"/>
    <w:rsid w:val="00D060A8"/>
    <w:rsid w:val="00D06605"/>
    <w:rsid w:val="00D069BD"/>
    <w:rsid w:val="00D0720F"/>
    <w:rsid w:val="00D074E2"/>
    <w:rsid w:val="00D11B0B"/>
    <w:rsid w:val="00D12A3E"/>
    <w:rsid w:val="00D171C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83D"/>
    <w:rsid w:val="00D55407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C34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577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6EA"/>
    <w:rsid w:val="00DC6DBB"/>
    <w:rsid w:val="00DC7761"/>
    <w:rsid w:val="00DD0022"/>
    <w:rsid w:val="00DD073C"/>
    <w:rsid w:val="00DD0793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1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09"/>
    <w:rsid w:val="00E13374"/>
    <w:rsid w:val="00E14079"/>
    <w:rsid w:val="00E15F90"/>
    <w:rsid w:val="00E1652F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55A"/>
    <w:rsid w:val="00E87A99"/>
    <w:rsid w:val="00E90702"/>
    <w:rsid w:val="00E9241E"/>
    <w:rsid w:val="00E92C71"/>
    <w:rsid w:val="00E93DEF"/>
    <w:rsid w:val="00E947B1"/>
    <w:rsid w:val="00E94989"/>
    <w:rsid w:val="00E96852"/>
    <w:rsid w:val="00EA16AC"/>
    <w:rsid w:val="00EA1FDD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446"/>
    <w:rsid w:val="00EC7B80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788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1E4"/>
    <w:rsid w:val="00F05397"/>
    <w:rsid w:val="00F06199"/>
    <w:rsid w:val="00F0638C"/>
    <w:rsid w:val="00F11E04"/>
    <w:rsid w:val="00F12B24"/>
    <w:rsid w:val="00F12BC7"/>
    <w:rsid w:val="00F15223"/>
    <w:rsid w:val="00F164B4"/>
    <w:rsid w:val="00F176E4"/>
    <w:rsid w:val="00F20D87"/>
    <w:rsid w:val="00F20E5F"/>
    <w:rsid w:val="00F25CC2"/>
    <w:rsid w:val="00F26ED5"/>
    <w:rsid w:val="00F27573"/>
    <w:rsid w:val="00F31876"/>
    <w:rsid w:val="00F31C67"/>
    <w:rsid w:val="00F31CBF"/>
    <w:rsid w:val="00F36FE0"/>
    <w:rsid w:val="00F37EA8"/>
    <w:rsid w:val="00F40B14"/>
    <w:rsid w:val="00F41186"/>
    <w:rsid w:val="00F41A9D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DE7"/>
    <w:rsid w:val="00F5605D"/>
    <w:rsid w:val="00F57A7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E52"/>
    <w:rsid w:val="00FA59FD"/>
    <w:rsid w:val="00FA5D8C"/>
    <w:rsid w:val="00FA6403"/>
    <w:rsid w:val="00FA689C"/>
    <w:rsid w:val="00FB16CD"/>
    <w:rsid w:val="00FB73AE"/>
    <w:rsid w:val="00FB7A76"/>
    <w:rsid w:val="00FC5388"/>
    <w:rsid w:val="00FC726C"/>
    <w:rsid w:val="00FD1B4B"/>
    <w:rsid w:val="00FD1B94"/>
    <w:rsid w:val="00FE19C5"/>
    <w:rsid w:val="00FE4286"/>
    <w:rsid w:val="00FE48C3"/>
    <w:rsid w:val="00FE5909"/>
    <w:rsid w:val="00FE5E2C"/>
    <w:rsid w:val="00FE652E"/>
    <w:rsid w:val="00FE71FE"/>
    <w:rsid w:val="00FF0A28"/>
    <w:rsid w:val="00FF0B8B"/>
    <w:rsid w:val="00FF0E93"/>
    <w:rsid w:val="00FF13C3"/>
    <w:rsid w:val="00FF34C8"/>
    <w:rsid w:val="00FF41FE"/>
    <w:rsid w:val="00FF4341"/>
    <w:rsid w:val="00FF517B"/>
    <w:rsid w:val="00FF6A57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73D39A-1509-4A9C-83B9-7DE9D955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E165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652F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EE37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7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788"/>
    <w:rPr>
      <w:b/>
      <w:bCs/>
    </w:rPr>
  </w:style>
  <w:style w:type="character" w:styleId="Hyperlink">
    <w:name w:val="Hyperlink"/>
    <w:basedOn w:val="DefaultParagraphFont"/>
    <w:unhideWhenUsed/>
    <w:rsid w:val="002E5EE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949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1546</Words>
  <Characters>8400</Characters>
  <Application>Microsoft Office Word</Application>
  <DocSecurity>4</DocSecurity>
  <Lines>167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HB02761 (Committee Report (Substituted))</vt:lpstr>
    </vt:vector>
  </TitlesOfParts>
  <Company>State of Texas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20237</dc:subject>
  <dc:creator>State of Texas</dc:creator>
  <dc:description>HB 2761 by Israel-(H)Insurance (Substitute Document Number: 87R 18195)</dc:description>
  <cp:lastModifiedBy>Thomas Weis</cp:lastModifiedBy>
  <cp:revision>2</cp:revision>
  <cp:lastPrinted>2003-11-26T17:21:00Z</cp:lastPrinted>
  <dcterms:created xsi:type="dcterms:W3CDTF">2021-04-23T22:09:00Z</dcterms:created>
  <dcterms:modified xsi:type="dcterms:W3CDTF">2021-04-23T22:09:00Z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21.106.2171</vt:lpwstr>
  </property>
</Properties>
</file>