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745B7" w14:paraId="60D33765" w14:textId="77777777" w:rsidTr="00345119">
        <w:tc>
          <w:tcPr>
            <w:tcW w:w="9576" w:type="dxa"/>
            <w:noWrap/>
          </w:tcPr>
          <w:p w14:paraId="369A8453" w14:textId="77777777" w:rsidR="008423E4" w:rsidRPr="0022177D" w:rsidRDefault="00AE0E57" w:rsidP="0088323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2011654" w14:textId="77777777" w:rsidR="008423E4" w:rsidRPr="0022177D" w:rsidRDefault="008423E4" w:rsidP="00883235">
      <w:pPr>
        <w:jc w:val="center"/>
      </w:pPr>
    </w:p>
    <w:p w14:paraId="1EC258ED" w14:textId="77777777" w:rsidR="008423E4" w:rsidRPr="00B31F0E" w:rsidRDefault="008423E4" w:rsidP="00883235"/>
    <w:p w14:paraId="20DA4FB8" w14:textId="77777777" w:rsidR="008423E4" w:rsidRPr="00742794" w:rsidRDefault="008423E4" w:rsidP="0088323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745B7" w14:paraId="5FEFE162" w14:textId="77777777" w:rsidTr="00345119">
        <w:tc>
          <w:tcPr>
            <w:tcW w:w="9576" w:type="dxa"/>
          </w:tcPr>
          <w:p w14:paraId="72311497" w14:textId="51224C20" w:rsidR="008423E4" w:rsidRPr="00861995" w:rsidRDefault="00AE0E57" w:rsidP="00883235">
            <w:pPr>
              <w:jc w:val="right"/>
            </w:pPr>
            <w:r>
              <w:t>C.S.H.B. 2788</w:t>
            </w:r>
          </w:p>
        </w:tc>
      </w:tr>
      <w:tr w:rsidR="008745B7" w14:paraId="5B07F3C0" w14:textId="77777777" w:rsidTr="00345119">
        <w:tc>
          <w:tcPr>
            <w:tcW w:w="9576" w:type="dxa"/>
          </w:tcPr>
          <w:p w14:paraId="10A6689C" w14:textId="0E61D5C8" w:rsidR="008423E4" w:rsidRPr="00861995" w:rsidRDefault="00AE0E57" w:rsidP="00883235">
            <w:pPr>
              <w:jc w:val="right"/>
            </w:pPr>
            <w:r>
              <w:t xml:space="preserve">By: </w:t>
            </w:r>
            <w:r w:rsidR="00262FA6">
              <w:t>Leach</w:t>
            </w:r>
          </w:p>
        </w:tc>
      </w:tr>
      <w:tr w:rsidR="008745B7" w14:paraId="4B86C045" w14:textId="77777777" w:rsidTr="00345119">
        <w:tc>
          <w:tcPr>
            <w:tcW w:w="9576" w:type="dxa"/>
          </w:tcPr>
          <w:p w14:paraId="5B1EE6BD" w14:textId="178E85B8" w:rsidR="008423E4" w:rsidRPr="00861995" w:rsidRDefault="00AE0E57" w:rsidP="00883235">
            <w:pPr>
              <w:jc w:val="right"/>
            </w:pPr>
            <w:r>
              <w:t>Judiciary &amp; Civil Jurisprudence</w:t>
            </w:r>
          </w:p>
        </w:tc>
      </w:tr>
      <w:tr w:rsidR="008745B7" w14:paraId="6AFB54F4" w14:textId="77777777" w:rsidTr="00345119">
        <w:tc>
          <w:tcPr>
            <w:tcW w:w="9576" w:type="dxa"/>
          </w:tcPr>
          <w:p w14:paraId="0B8AE838" w14:textId="3B1AC21E" w:rsidR="008423E4" w:rsidRDefault="00AE0E57" w:rsidP="00883235">
            <w:pPr>
              <w:jc w:val="right"/>
            </w:pPr>
            <w:r>
              <w:t>Committee Report (Substituted)</w:t>
            </w:r>
          </w:p>
        </w:tc>
      </w:tr>
    </w:tbl>
    <w:p w14:paraId="46F6FFB7" w14:textId="77777777" w:rsidR="008423E4" w:rsidRDefault="008423E4" w:rsidP="00883235">
      <w:pPr>
        <w:tabs>
          <w:tab w:val="right" w:pos="9360"/>
        </w:tabs>
      </w:pPr>
    </w:p>
    <w:p w14:paraId="0CBCD8B0" w14:textId="77777777" w:rsidR="008423E4" w:rsidRDefault="008423E4" w:rsidP="00883235"/>
    <w:p w14:paraId="43D19D2C" w14:textId="77777777" w:rsidR="008423E4" w:rsidRDefault="008423E4" w:rsidP="0088323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745B7" w14:paraId="3B76AED6" w14:textId="77777777" w:rsidTr="00345119">
        <w:tc>
          <w:tcPr>
            <w:tcW w:w="9576" w:type="dxa"/>
          </w:tcPr>
          <w:p w14:paraId="5B877487" w14:textId="77777777" w:rsidR="008423E4" w:rsidRPr="00A8133F" w:rsidRDefault="00AE0E57" w:rsidP="00883235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68E4D2F" w14:textId="77777777" w:rsidR="008423E4" w:rsidRDefault="008423E4" w:rsidP="00883235">
            <w:pPr>
              <w:jc w:val="both"/>
            </w:pPr>
          </w:p>
          <w:p w14:paraId="32F48759" w14:textId="77777777" w:rsidR="008423E4" w:rsidRDefault="00AE0E57" w:rsidP="00883235">
            <w:pPr>
              <w:pStyle w:val="Header"/>
              <w:jc w:val="both"/>
            </w:pPr>
            <w:r w:rsidRPr="00C90B54">
              <w:t xml:space="preserve">In Texas, </w:t>
            </w:r>
            <w:r w:rsidR="00072B25">
              <w:t>t</w:t>
            </w:r>
            <w:r w:rsidR="00072B25" w:rsidRPr="00C90B54">
              <w:t xml:space="preserve">ransportation </w:t>
            </w:r>
            <w:r w:rsidR="00072B25">
              <w:t>n</w:t>
            </w:r>
            <w:r w:rsidR="00072B25" w:rsidRPr="00C90B54">
              <w:t xml:space="preserve">etwork </w:t>
            </w:r>
            <w:r w:rsidR="00072B25">
              <w:t>c</w:t>
            </w:r>
            <w:r w:rsidR="00072B25" w:rsidRPr="00C90B54">
              <w:t xml:space="preserve">ompanies </w:t>
            </w:r>
            <w:r w:rsidRPr="00C90B54">
              <w:t xml:space="preserve">provide $1 million in liability insurance coverage for drivers, riders, and any third parties injured by a vehicle providing a ride on a </w:t>
            </w:r>
            <w:r w:rsidR="00072B25">
              <w:t>company</w:t>
            </w:r>
            <w:r w:rsidR="00072B25" w:rsidRPr="00C90B54">
              <w:t xml:space="preserve"> </w:t>
            </w:r>
            <w:r w:rsidRPr="00C90B54">
              <w:t xml:space="preserve">platform. Concerns have been raised </w:t>
            </w:r>
            <w:r w:rsidR="00F853F7">
              <w:t>regarding</w:t>
            </w:r>
            <w:r w:rsidR="00F853F7" w:rsidRPr="00C90B54">
              <w:t xml:space="preserve"> </w:t>
            </w:r>
            <w:r w:rsidRPr="00C90B54">
              <w:t>the costs associated with frivolous lawsuits against transportati</w:t>
            </w:r>
            <w:r w:rsidRPr="00C90B54">
              <w:t xml:space="preserve">on network companies for damages that are within the required $1 million liability insurance coverage. </w:t>
            </w:r>
            <w:r w:rsidR="00072B25">
              <w:t>There have been calls to</w:t>
            </w:r>
            <w:r w:rsidRPr="00C90B54">
              <w:t xml:space="preserve"> provide </w:t>
            </w:r>
            <w:r w:rsidR="00F853F7">
              <w:t>safeguards</w:t>
            </w:r>
            <w:r w:rsidR="00F853F7" w:rsidRPr="00C90B54">
              <w:t xml:space="preserve"> </w:t>
            </w:r>
            <w:r w:rsidRPr="00C90B54">
              <w:t xml:space="preserve">in state law that would reduce legal costs for both Texas consumers and transportation network companies and </w:t>
            </w:r>
            <w:r w:rsidRPr="00C90B54">
              <w:t>ensure that auto accident claims are not clogging up the courts and can be paid out as quickly as possible without affecting a consumer</w:t>
            </w:r>
            <w:r w:rsidR="0021353A">
              <w:t>'</w:t>
            </w:r>
            <w:r w:rsidRPr="00C90B54">
              <w:t>s ability to recover.</w:t>
            </w:r>
            <w:r w:rsidR="00072B25">
              <w:t xml:space="preserve"> </w:t>
            </w:r>
            <w:r w:rsidR="007808BF">
              <w:t>C.S.</w:t>
            </w:r>
            <w:r w:rsidRPr="00C90B54">
              <w:t xml:space="preserve">H.B. 2788 seeks to </w:t>
            </w:r>
            <w:r w:rsidR="00072B25">
              <w:t>address these concerns</w:t>
            </w:r>
            <w:r w:rsidRPr="00C90B54">
              <w:t xml:space="preserve"> </w:t>
            </w:r>
            <w:r w:rsidR="00072B25">
              <w:t xml:space="preserve">by </w:t>
            </w:r>
            <w:r w:rsidRPr="00C90B54">
              <w:t xml:space="preserve">requiring </w:t>
            </w:r>
            <w:r w:rsidR="00FC016D">
              <w:t>certain civil actions and arbitration proceedings</w:t>
            </w:r>
            <w:r w:rsidRPr="00C90B54">
              <w:t xml:space="preserve"> naming a transportation network company </w:t>
            </w:r>
            <w:r w:rsidR="00072B25">
              <w:t xml:space="preserve">to </w:t>
            </w:r>
            <w:r w:rsidRPr="00C90B54">
              <w:t xml:space="preserve">include proof that the damages exceed the $1 million insurance coverage required by </w:t>
            </w:r>
            <w:r w:rsidR="00A02135">
              <w:t>state</w:t>
            </w:r>
            <w:r w:rsidRPr="00C90B54">
              <w:t xml:space="preserve"> law. </w:t>
            </w:r>
          </w:p>
          <w:p w14:paraId="02A628C5" w14:textId="538F13B9" w:rsidR="000319CF" w:rsidRPr="00E26B13" w:rsidRDefault="000319CF" w:rsidP="00883235">
            <w:pPr>
              <w:pStyle w:val="Header"/>
              <w:jc w:val="both"/>
              <w:rPr>
                <w:b/>
              </w:rPr>
            </w:pPr>
          </w:p>
        </w:tc>
      </w:tr>
      <w:tr w:rsidR="008745B7" w14:paraId="5BFD6C2C" w14:textId="77777777" w:rsidTr="00345119">
        <w:tc>
          <w:tcPr>
            <w:tcW w:w="9576" w:type="dxa"/>
          </w:tcPr>
          <w:p w14:paraId="531E1418" w14:textId="77777777" w:rsidR="0017725B" w:rsidRDefault="00AE0E57" w:rsidP="008832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3F5D115" w14:textId="77777777" w:rsidR="0017725B" w:rsidRDefault="0017725B" w:rsidP="00883235">
            <w:pPr>
              <w:rPr>
                <w:b/>
                <w:u w:val="single"/>
              </w:rPr>
            </w:pPr>
          </w:p>
          <w:p w14:paraId="4862EFD7" w14:textId="77777777" w:rsidR="00F31CE9" w:rsidRPr="00F31CE9" w:rsidRDefault="00AE0E57" w:rsidP="00883235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14:paraId="1697E373" w14:textId="77777777" w:rsidR="0017725B" w:rsidRPr="0017725B" w:rsidRDefault="0017725B" w:rsidP="00883235">
            <w:pPr>
              <w:rPr>
                <w:b/>
                <w:u w:val="single"/>
              </w:rPr>
            </w:pPr>
          </w:p>
        </w:tc>
      </w:tr>
      <w:tr w:rsidR="008745B7" w14:paraId="76C800F0" w14:textId="77777777" w:rsidTr="00345119">
        <w:tc>
          <w:tcPr>
            <w:tcW w:w="9576" w:type="dxa"/>
          </w:tcPr>
          <w:p w14:paraId="242BB312" w14:textId="77777777" w:rsidR="008423E4" w:rsidRPr="00A8133F" w:rsidRDefault="00AE0E57" w:rsidP="0088323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B818046" w14:textId="77777777" w:rsidR="008423E4" w:rsidRDefault="008423E4" w:rsidP="00883235"/>
          <w:p w14:paraId="7222C2E3" w14:textId="77777777" w:rsidR="00F31CE9" w:rsidRDefault="00AE0E57" w:rsidP="008832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14:paraId="3A9B66EA" w14:textId="77777777" w:rsidR="008423E4" w:rsidRPr="00E21FDC" w:rsidRDefault="008423E4" w:rsidP="00883235">
            <w:pPr>
              <w:rPr>
                <w:b/>
              </w:rPr>
            </w:pPr>
          </w:p>
        </w:tc>
      </w:tr>
      <w:tr w:rsidR="008745B7" w14:paraId="1210EB5C" w14:textId="77777777" w:rsidTr="00345119">
        <w:tc>
          <w:tcPr>
            <w:tcW w:w="9576" w:type="dxa"/>
          </w:tcPr>
          <w:p w14:paraId="57E6FCE5" w14:textId="77777777" w:rsidR="00B5077B" w:rsidRDefault="00AE0E57" w:rsidP="00883235">
            <w:pPr>
              <w:pStyle w:val="Header"/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D6CDF54" w14:textId="77777777" w:rsidR="00B5077B" w:rsidRDefault="00B5077B" w:rsidP="00883235">
            <w:pPr>
              <w:pStyle w:val="Header"/>
              <w:jc w:val="both"/>
              <w:rPr>
                <w:b/>
              </w:rPr>
            </w:pPr>
          </w:p>
          <w:p w14:paraId="6B9286FF" w14:textId="6CF51CE6" w:rsidR="0090608A" w:rsidRDefault="00AE0E57" w:rsidP="00883235">
            <w:pPr>
              <w:pStyle w:val="Header"/>
              <w:jc w:val="both"/>
            </w:pPr>
            <w:r>
              <w:t>C.S.H.B. 2788 amends the Civil Practice and Remedies Code to establish provisions governing an action</w:t>
            </w:r>
            <w:r>
              <w:t xml:space="preserve"> or arbitration proceeding in which the following conditions apply:</w:t>
            </w:r>
          </w:p>
          <w:p w14:paraId="6F51DAB9" w14:textId="77777777" w:rsidR="0090608A" w:rsidRDefault="00AE0E57" w:rsidP="0088323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transportation network company is a defendant;</w:t>
            </w:r>
          </w:p>
          <w:p w14:paraId="3240CF3D" w14:textId="77777777" w:rsidR="0090608A" w:rsidRDefault="00AE0E57" w:rsidP="0088323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claimant seeks recovery of damages for loss of property, bodily injury, or death;</w:t>
            </w:r>
          </w:p>
          <w:p w14:paraId="7B5B1D84" w14:textId="77777777" w:rsidR="0090608A" w:rsidRDefault="00AE0E57" w:rsidP="0088323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claim for which the action or proceeding is broug</w:t>
            </w:r>
            <w:r>
              <w:t>ht arises out of the ownership, use, operation, or possession of a personal vehicle while the vehicle's driver or passenger was logged on to a transportation network company's digital network; and</w:t>
            </w:r>
          </w:p>
          <w:p w14:paraId="7188404B" w14:textId="77777777" w:rsidR="0090608A" w:rsidRDefault="00AE0E57" w:rsidP="0088323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theory of recovery for which damages are sought against</w:t>
            </w:r>
            <w:r>
              <w:t xml:space="preserve"> the transportation network company is based on the following:</w:t>
            </w:r>
          </w:p>
          <w:p w14:paraId="13177A74" w14:textId="77777777" w:rsidR="0090608A" w:rsidRDefault="00AE0E57" w:rsidP="00883235">
            <w:pPr>
              <w:pStyle w:val="Header"/>
              <w:numPr>
                <w:ilvl w:val="1"/>
                <w:numId w:val="1"/>
              </w:numPr>
              <w:jc w:val="both"/>
            </w:pPr>
            <w:r>
              <w:t>the ownership, operation, design, manufacture, or maintenance of a digital network accessed by a driver or passenger; or</w:t>
            </w:r>
          </w:p>
          <w:p w14:paraId="26A08CF3" w14:textId="19BC9148" w:rsidR="0090608A" w:rsidRDefault="00AE0E57" w:rsidP="00883235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the affiliation or interaction with a driver logged on to a transportati</w:t>
            </w:r>
            <w:r>
              <w:t xml:space="preserve">on network company's digital network. </w:t>
            </w:r>
            <w:r w:rsidR="004454FE">
              <w:t xml:space="preserve"> </w:t>
            </w:r>
          </w:p>
          <w:p w14:paraId="0C59017C" w14:textId="77777777" w:rsidR="0090608A" w:rsidRDefault="0090608A" w:rsidP="00883235">
            <w:pPr>
              <w:jc w:val="both"/>
            </w:pPr>
          </w:p>
          <w:p w14:paraId="100872EF" w14:textId="23466EC0" w:rsidR="00CB20BA" w:rsidRDefault="00AE0E57" w:rsidP="00883235">
            <w:pPr>
              <w:pStyle w:val="Header"/>
              <w:jc w:val="both"/>
            </w:pPr>
            <w:r>
              <w:t>C.S.</w:t>
            </w:r>
            <w:r w:rsidR="00696DAE">
              <w:t xml:space="preserve">H.B. 2788 </w:t>
            </w:r>
            <w:r w:rsidR="0090608A">
              <w:t>requires</w:t>
            </w:r>
            <w:r w:rsidR="003F5548">
              <w:t xml:space="preserve"> a claimant, at the time the claimant initially names the </w:t>
            </w:r>
            <w:r w:rsidR="003F5548" w:rsidRPr="003F5548">
              <w:t xml:space="preserve">transportation network company as a party in </w:t>
            </w:r>
            <w:r w:rsidR="0090608A">
              <w:t>an applicable</w:t>
            </w:r>
            <w:r w:rsidR="0090608A" w:rsidRPr="003F5548">
              <w:t xml:space="preserve"> </w:t>
            </w:r>
            <w:r w:rsidR="003F5548" w:rsidRPr="003F5548">
              <w:t xml:space="preserve">action or </w:t>
            </w:r>
            <w:r w:rsidR="0090608A">
              <w:t xml:space="preserve">arbitration </w:t>
            </w:r>
            <w:r w:rsidR="003F5548" w:rsidRPr="003F5548">
              <w:t>proceeding</w:t>
            </w:r>
            <w:r w:rsidR="003F5548">
              <w:t>, to</w:t>
            </w:r>
            <w:r w:rsidR="00B250F7">
              <w:t xml:space="preserve"> </w:t>
            </w:r>
            <w:r w:rsidR="003F5548" w:rsidRPr="003F5548">
              <w:t>file with the petition or provide to the arbitration tribunal and each other party at the initiation of the arbitration</w:t>
            </w:r>
            <w:r w:rsidR="00B250F7">
              <w:t>, as applicable,</w:t>
            </w:r>
            <w:r>
              <w:t xml:space="preserve"> </w:t>
            </w:r>
            <w:r w:rsidR="003F5548" w:rsidRPr="003F5548">
              <w:t>an affidavit</w:t>
            </w:r>
            <w:r w:rsidR="002A71E0">
              <w:t xml:space="preserve"> </w:t>
            </w:r>
            <w:r w:rsidR="00A02135">
              <w:t>by the claimant's counsel attesting</w:t>
            </w:r>
            <w:r w:rsidR="003F5548" w:rsidRPr="003F5548">
              <w:t xml:space="preserve"> </w:t>
            </w:r>
            <w:r w:rsidR="002A71E0">
              <w:t>that</w:t>
            </w:r>
            <w:r w:rsidR="003F5548" w:rsidRPr="003F5548">
              <w:t xml:space="preserve"> the damages suffered by the claimant exceed the a</w:t>
            </w:r>
            <w:r w:rsidR="003F5548" w:rsidRPr="00242652">
              <w:t>pplicabl</w:t>
            </w:r>
            <w:r w:rsidR="003F5548" w:rsidRPr="003F5548">
              <w:t>e insurance coverage limit</w:t>
            </w:r>
            <w:r w:rsidR="0044133F">
              <w:t xml:space="preserve">. </w:t>
            </w:r>
            <w:r>
              <w:t>The bill</w:t>
            </w:r>
            <w:r w:rsidRPr="00CB20BA">
              <w:t xml:space="preserve"> establishes that a defendant in </w:t>
            </w:r>
            <w:r w:rsidR="0090608A">
              <w:t xml:space="preserve">the </w:t>
            </w:r>
            <w:r w:rsidRPr="0090608A">
              <w:t>action or proceeding</w:t>
            </w:r>
            <w:r w:rsidRPr="00CB20BA">
              <w:t xml:space="preserve"> is not required to file an answer to the petition or arbitration request until the 30th day after the date </w:t>
            </w:r>
            <w:r w:rsidR="00D04790">
              <w:t>the</w:t>
            </w:r>
            <w:r w:rsidR="00D04790" w:rsidRPr="00CB20BA">
              <w:t xml:space="preserve"> </w:t>
            </w:r>
            <w:r w:rsidRPr="00CB20BA">
              <w:t xml:space="preserve">required affidavit </w:t>
            </w:r>
            <w:r w:rsidR="00D04790">
              <w:t>is</w:t>
            </w:r>
            <w:r w:rsidR="00D04790" w:rsidRPr="00CB20BA">
              <w:t xml:space="preserve"> </w:t>
            </w:r>
            <w:r w:rsidRPr="00CB20BA">
              <w:t>filed</w:t>
            </w:r>
            <w:r w:rsidRPr="0090608A">
              <w:t>.</w:t>
            </w:r>
          </w:p>
          <w:p w14:paraId="2F2DF4E5" w14:textId="77777777" w:rsidR="00C92EC8" w:rsidRDefault="00C92EC8" w:rsidP="00883235">
            <w:pPr>
              <w:jc w:val="both"/>
            </w:pPr>
          </w:p>
          <w:p w14:paraId="1118C644" w14:textId="75B89ACD" w:rsidR="0021058E" w:rsidRDefault="00AE0E57" w:rsidP="00883235">
            <w:pPr>
              <w:jc w:val="both"/>
            </w:pPr>
            <w:r>
              <w:t>C.S.</w:t>
            </w:r>
            <w:r w:rsidR="00C92EC8">
              <w:t xml:space="preserve">H.B. 2788's </w:t>
            </w:r>
            <w:r w:rsidR="00F31CE9">
              <w:t>contemporaneous</w:t>
            </w:r>
            <w:r w:rsidR="00C92EC8">
              <w:t xml:space="preserve"> filing requirement does not apply t</w:t>
            </w:r>
            <w:r w:rsidR="00C92EC8" w:rsidRPr="00C92EC8">
              <w:t xml:space="preserve">o any action </w:t>
            </w:r>
            <w:r w:rsidR="00C92EC8" w:rsidRPr="00480506">
              <w:t>or proceeding</w:t>
            </w:r>
            <w:r w:rsidR="00C92EC8" w:rsidRPr="00C92EC8">
              <w:t xml:space="preserve"> in which the limitations period expires within 10 days of the date of filing of the petition or initiation of arbitration and, because of the time constraints, a claimant has alleged that the required affidavit could not be prepared. </w:t>
            </w:r>
            <w:r w:rsidR="00C92EC8">
              <w:t>The bill requires</w:t>
            </w:r>
            <w:r w:rsidR="00C92EC8" w:rsidRPr="00C92EC8">
              <w:t xml:space="preserve"> </w:t>
            </w:r>
            <w:r w:rsidR="00C92EC8">
              <w:t xml:space="preserve">the </w:t>
            </w:r>
            <w:r w:rsidR="00C92EC8" w:rsidRPr="00C92EC8">
              <w:t xml:space="preserve">claimant </w:t>
            </w:r>
            <w:r w:rsidR="00C92EC8">
              <w:t>to</w:t>
            </w:r>
            <w:r w:rsidR="00C92EC8" w:rsidRPr="00C92EC8">
              <w:t xml:space="preserve"> supplement the pleadings with the affidavit not later than the 30th day after the date the petition is filed or the arbitration is initiated. The </w:t>
            </w:r>
            <w:r w:rsidR="00C92EC8">
              <w:t xml:space="preserve">bill authorizes the </w:t>
            </w:r>
            <w:r w:rsidR="00C92EC8" w:rsidRPr="00C92EC8">
              <w:t xml:space="preserve">trial court or arbitration tribunal, on a motion by a party, after hearing and for good cause, </w:t>
            </w:r>
            <w:r w:rsidR="00C92EC8">
              <w:t xml:space="preserve">to </w:t>
            </w:r>
            <w:r w:rsidR="00C92EC8" w:rsidRPr="00C92EC8">
              <w:t>extend the deadline for supplementing the pleadings as the court or tribunal determines justice requires.</w:t>
            </w:r>
            <w:r w:rsidR="00C92EC8">
              <w:t xml:space="preserve"> </w:t>
            </w:r>
            <w:r w:rsidR="0090608A">
              <w:t xml:space="preserve">The bill's provisions relating to the required affidavit may not be construed to extend any applicable period of limitation or repose. </w:t>
            </w:r>
          </w:p>
          <w:p w14:paraId="7E7AE6B5" w14:textId="77777777" w:rsidR="0021058E" w:rsidRDefault="0021058E" w:rsidP="00883235">
            <w:pPr>
              <w:jc w:val="both"/>
            </w:pPr>
          </w:p>
          <w:p w14:paraId="4BF19CF2" w14:textId="43629760" w:rsidR="0021058E" w:rsidRDefault="00AE0E57" w:rsidP="00883235">
            <w:pPr>
              <w:jc w:val="both"/>
            </w:pPr>
            <w:r>
              <w:t>C.S.H.B. 2788 requires a</w:t>
            </w:r>
            <w:r w:rsidRPr="0021058E">
              <w:t xml:space="preserve"> court or arbitration tribunal </w:t>
            </w:r>
            <w:r>
              <w:t>to</w:t>
            </w:r>
            <w:r w:rsidRPr="0021058E">
              <w:t xml:space="preserve"> dismiss with prejudice a complaint against a transportation network company with respect to which the claimant failed to file </w:t>
            </w:r>
            <w:r w:rsidR="004E5201">
              <w:t xml:space="preserve">the </w:t>
            </w:r>
            <w:r w:rsidR="00480506">
              <w:t>required affidavit</w:t>
            </w:r>
            <w:r w:rsidR="00F31CE9">
              <w:t xml:space="preserve">. </w:t>
            </w:r>
            <w:r>
              <w:t>An o</w:t>
            </w:r>
            <w:r>
              <w:t xml:space="preserve">rder granting or denying such a motion for dismissal </w:t>
            </w:r>
            <w:r w:rsidR="00CB20BA">
              <w:t xml:space="preserve">is, as applicable, </w:t>
            </w:r>
            <w:r>
              <w:t>immediately appealable as an interlocutory order or grounds to file an application to a court</w:t>
            </w:r>
            <w:r w:rsidR="00CB20BA">
              <w:t>,</w:t>
            </w:r>
            <w:r>
              <w:t xml:space="preserve"> under provisions governing general arbitration court proceedings, for the court to review</w:t>
            </w:r>
            <w:r>
              <w:t xml:space="preserve"> the order.</w:t>
            </w:r>
          </w:p>
          <w:p w14:paraId="0F1EDF09" w14:textId="77777777" w:rsidR="0021058E" w:rsidRDefault="0021058E" w:rsidP="00883235">
            <w:pPr>
              <w:jc w:val="both"/>
            </w:pPr>
          </w:p>
          <w:p w14:paraId="1880C97A" w14:textId="53D6D4E8" w:rsidR="0021058E" w:rsidRDefault="00AE0E57" w:rsidP="00883235">
            <w:pPr>
              <w:jc w:val="both"/>
            </w:pPr>
            <w:r>
              <w:t xml:space="preserve">C.S.H.B. 2788 grants </w:t>
            </w:r>
            <w:r w:rsidR="003E5C73">
              <w:t>a</w:t>
            </w:r>
            <w:r w:rsidR="003E5C73" w:rsidRPr="003E5C73">
              <w:t xml:space="preserve"> transportation network company</w:t>
            </w:r>
            <w:r w:rsidR="003E5C73">
              <w:t xml:space="preserve"> immunity from vicarious liability for damages in </w:t>
            </w:r>
            <w:r w:rsidR="008F4D13">
              <w:t>an applicable</w:t>
            </w:r>
            <w:r w:rsidR="003E5C73" w:rsidRPr="003E5C73">
              <w:t xml:space="preserve"> action or arbitration proceeding</w:t>
            </w:r>
            <w:r w:rsidR="003E5C73">
              <w:t xml:space="preserve"> if the company did not commit a crime under state or federal law and has fulfilled all of the company's obligations with respect to the transportation network company driver </w:t>
            </w:r>
            <w:r w:rsidR="00CB20BA">
              <w:t>as required by applicable</w:t>
            </w:r>
            <w:r w:rsidR="004E5201">
              <w:t xml:space="preserve"> </w:t>
            </w:r>
            <w:r w:rsidR="003E5C73">
              <w:t>Occupations Code</w:t>
            </w:r>
            <w:r w:rsidR="00F31CE9">
              <w:t xml:space="preserve">        </w:t>
            </w:r>
            <w:r w:rsidR="003E5C73">
              <w:t>provisions.</w:t>
            </w:r>
          </w:p>
          <w:p w14:paraId="5035F265" w14:textId="7F193B6E" w:rsidR="004E5201" w:rsidRDefault="004E5201" w:rsidP="00883235">
            <w:pPr>
              <w:jc w:val="both"/>
            </w:pPr>
          </w:p>
          <w:p w14:paraId="0BDD076B" w14:textId="58785621" w:rsidR="00C878A1" w:rsidRDefault="00AE0E57" w:rsidP="00883235">
            <w:pPr>
              <w:jc w:val="both"/>
            </w:pPr>
            <w:r>
              <w:t xml:space="preserve">C.S.H.B. 2788 amends the Occupations Code </w:t>
            </w:r>
            <w:r w:rsidR="009F2395">
              <w:t xml:space="preserve">to </w:t>
            </w:r>
            <w:r>
              <w:t xml:space="preserve">add a reference to the bill's Civil Practice and Remedies Code provisions in the governing statutes for transportation network companies. </w:t>
            </w:r>
          </w:p>
          <w:p w14:paraId="2E5F1E0F" w14:textId="7BEBC11B" w:rsidR="004E5201" w:rsidRPr="003F5548" w:rsidRDefault="004E5201" w:rsidP="00883235">
            <w:pPr>
              <w:jc w:val="both"/>
            </w:pPr>
          </w:p>
        </w:tc>
      </w:tr>
      <w:tr w:rsidR="008745B7" w14:paraId="269D1F7A" w14:textId="77777777" w:rsidTr="00345119">
        <w:tc>
          <w:tcPr>
            <w:tcW w:w="9576" w:type="dxa"/>
          </w:tcPr>
          <w:p w14:paraId="2E21EDF5" w14:textId="77777777" w:rsidR="008423E4" w:rsidRPr="00A8133F" w:rsidRDefault="00AE0E57" w:rsidP="0088323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6B2990F" w14:textId="77777777" w:rsidR="008423E4" w:rsidRDefault="008423E4" w:rsidP="00883235"/>
          <w:p w14:paraId="6CA6B21B" w14:textId="77777777" w:rsidR="008423E4" w:rsidRPr="003624F2" w:rsidRDefault="00AE0E57" w:rsidP="008832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20BB7F5" w14:textId="77777777" w:rsidR="008423E4" w:rsidRPr="00233FDB" w:rsidRDefault="008423E4" w:rsidP="00883235">
            <w:pPr>
              <w:rPr>
                <w:b/>
              </w:rPr>
            </w:pPr>
          </w:p>
        </w:tc>
      </w:tr>
      <w:tr w:rsidR="008745B7" w14:paraId="5B8044C8" w14:textId="77777777" w:rsidTr="00345119">
        <w:tc>
          <w:tcPr>
            <w:tcW w:w="9576" w:type="dxa"/>
          </w:tcPr>
          <w:p w14:paraId="2FC5D801" w14:textId="77777777" w:rsidR="00262FA6" w:rsidRDefault="00AE0E57" w:rsidP="0088323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</w:t>
            </w:r>
            <w:r>
              <w:rPr>
                <w:b/>
                <w:u w:val="single"/>
              </w:rPr>
              <w:t>ITUTE</w:t>
            </w:r>
          </w:p>
          <w:p w14:paraId="43ACDD03" w14:textId="77777777" w:rsidR="00AE1767" w:rsidRDefault="00AE1767" w:rsidP="00883235">
            <w:pPr>
              <w:jc w:val="both"/>
            </w:pPr>
          </w:p>
          <w:p w14:paraId="0F0CC7AB" w14:textId="2D8D58BC" w:rsidR="00AE1767" w:rsidRDefault="00AE0E57" w:rsidP="00883235">
            <w:pPr>
              <w:jc w:val="both"/>
            </w:pPr>
            <w:r>
              <w:t>While C.S.H.B. 2788 may differ from the original in minor or nonsubstantive ways, the following summarizes the substantial differences between the introduced and committee substitute versions of the bill.</w:t>
            </w:r>
          </w:p>
          <w:p w14:paraId="2291F0F3" w14:textId="3388A2BB" w:rsidR="00AE1767" w:rsidRDefault="00AE1767" w:rsidP="00883235">
            <w:pPr>
              <w:jc w:val="both"/>
            </w:pPr>
          </w:p>
          <w:p w14:paraId="0AC27875" w14:textId="5A236CE0" w:rsidR="001D6055" w:rsidRDefault="00AE0E57" w:rsidP="00883235">
            <w:pPr>
              <w:jc w:val="both"/>
            </w:pPr>
            <w:r>
              <w:t xml:space="preserve">The substitute </w:t>
            </w:r>
            <w:r w:rsidR="00781109">
              <w:t>revises the affidavit requirements as follows</w:t>
            </w:r>
            <w:r>
              <w:t>:</w:t>
            </w:r>
          </w:p>
          <w:p w14:paraId="1BD79DAD" w14:textId="227C46A2" w:rsidR="00AE1767" w:rsidRDefault="00AE0E57" w:rsidP="00883235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 xml:space="preserve">omits </w:t>
            </w:r>
            <w:r w:rsidR="00F853F7">
              <w:t xml:space="preserve">a </w:t>
            </w:r>
            <w:r>
              <w:t xml:space="preserve">requirement present in the original </w:t>
            </w:r>
            <w:r w:rsidR="00CB4A89">
              <w:t xml:space="preserve">for </w:t>
            </w:r>
            <w:r w:rsidR="001D6055">
              <w:t>the</w:t>
            </w:r>
            <w:r>
              <w:t xml:space="preserve"> claimant </w:t>
            </w:r>
            <w:r w:rsidR="00CB4A89">
              <w:t>to</w:t>
            </w:r>
            <w:r w:rsidR="009E2654">
              <w:t xml:space="preserve"> </w:t>
            </w:r>
            <w:r>
              <w:t xml:space="preserve">file </w:t>
            </w:r>
            <w:r w:rsidRPr="00AE1767">
              <w:t xml:space="preserve">an affidavit by the claimant's counsel that sets forth </w:t>
            </w:r>
            <w:r w:rsidR="001D6055">
              <w:t xml:space="preserve">certain supporting information </w:t>
            </w:r>
            <w:r w:rsidRPr="00AE1767">
              <w:t>for each theory of recovery for which damages are sought</w:t>
            </w:r>
            <w:r w:rsidR="001D6055">
              <w:t>;</w:t>
            </w:r>
            <w:r w:rsidR="009E2654">
              <w:t xml:space="preserve"> and</w:t>
            </w:r>
          </w:p>
          <w:p w14:paraId="3C7A1AE5" w14:textId="72880F8C" w:rsidR="001D6055" w:rsidRDefault="00AE0E57" w:rsidP="00883235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changes the nature o</w:t>
            </w:r>
            <w:r>
              <w:t>f</w:t>
            </w:r>
            <w:r w:rsidR="00CB4A89">
              <w:t xml:space="preserve"> </w:t>
            </w:r>
            <w:r w:rsidR="009E2654">
              <w:t>the</w:t>
            </w:r>
            <w:r>
              <w:t xml:space="preserve"> required</w:t>
            </w:r>
            <w:r w:rsidR="009E2654">
              <w:t xml:space="preserve"> affidavit </w:t>
            </w:r>
            <w:r w:rsidR="00242652">
              <w:t>attesting that</w:t>
            </w:r>
            <w:r w:rsidR="009E2654">
              <w:t xml:space="preserve"> the damages suffered by the claimant</w:t>
            </w:r>
            <w:r w:rsidR="00242652">
              <w:t xml:space="preserve"> exceed the applicable insurance coverage limit</w:t>
            </w:r>
            <w:r w:rsidR="00CB4A89">
              <w:t xml:space="preserve"> </w:t>
            </w:r>
            <w:r>
              <w:t xml:space="preserve">from an affidavit by a </w:t>
            </w:r>
            <w:r w:rsidR="009E2654">
              <w:t>third-party expert</w:t>
            </w:r>
            <w:r>
              <w:t xml:space="preserve"> to an affidavit by the claimant's counsel</w:t>
            </w:r>
            <w:r w:rsidR="009E2654">
              <w:t xml:space="preserve">. </w:t>
            </w:r>
          </w:p>
          <w:p w14:paraId="013E08AB" w14:textId="0B9932CC" w:rsidR="009E2654" w:rsidRDefault="009E2654" w:rsidP="00883235">
            <w:pPr>
              <w:jc w:val="both"/>
            </w:pPr>
          </w:p>
          <w:p w14:paraId="0F3E7729" w14:textId="57FE486B" w:rsidR="009E2654" w:rsidRDefault="00AE0E57" w:rsidP="00883235">
            <w:pPr>
              <w:jc w:val="both"/>
            </w:pPr>
            <w:r>
              <w:t xml:space="preserve">The substitute includes </w:t>
            </w:r>
            <w:r w:rsidR="00C84ADF">
              <w:t xml:space="preserve">an </w:t>
            </w:r>
            <w:r>
              <w:t xml:space="preserve">Occupations Code </w:t>
            </w:r>
            <w:r w:rsidR="00C84ADF">
              <w:t xml:space="preserve">provision absent from the original </w:t>
            </w:r>
            <w:r w:rsidR="00242652">
              <w:t xml:space="preserve">that adds a reference to the bill's Civil Practice and Remedies Code provisions </w:t>
            </w:r>
            <w:r w:rsidR="00C878A1">
              <w:t>in</w:t>
            </w:r>
            <w:r w:rsidR="00242652">
              <w:t xml:space="preserve"> the governing statute</w:t>
            </w:r>
            <w:r w:rsidR="00C878A1">
              <w:t>s</w:t>
            </w:r>
            <w:r w:rsidR="00242652">
              <w:t xml:space="preserve"> for transportation network companies. </w:t>
            </w:r>
          </w:p>
          <w:p w14:paraId="72239E64" w14:textId="7A2A4FD5" w:rsidR="00AE1767" w:rsidRPr="00AE1767" w:rsidRDefault="00AE1767" w:rsidP="00883235">
            <w:pPr>
              <w:jc w:val="both"/>
            </w:pPr>
          </w:p>
        </w:tc>
      </w:tr>
      <w:tr w:rsidR="008745B7" w14:paraId="14BA9067" w14:textId="77777777" w:rsidTr="00345119">
        <w:tc>
          <w:tcPr>
            <w:tcW w:w="9576" w:type="dxa"/>
          </w:tcPr>
          <w:p w14:paraId="2DB1B006" w14:textId="77777777" w:rsidR="00262FA6" w:rsidRPr="009C1E9A" w:rsidRDefault="00262FA6" w:rsidP="00883235">
            <w:pPr>
              <w:rPr>
                <w:b/>
                <w:u w:val="single"/>
              </w:rPr>
            </w:pPr>
          </w:p>
        </w:tc>
      </w:tr>
      <w:tr w:rsidR="008745B7" w14:paraId="7923D78A" w14:textId="77777777" w:rsidTr="00345119">
        <w:tc>
          <w:tcPr>
            <w:tcW w:w="9576" w:type="dxa"/>
          </w:tcPr>
          <w:p w14:paraId="404A3018" w14:textId="77777777" w:rsidR="00262FA6" w:rsidRPr="00262FA6" w:rsidRDefault="00262FA6" w:rsidP="00883235">
            <w:pPr>
              <w:jc w:val="both"/>
            </w:pPr>
          </w:p>
        </w:tc>
      </w:tr>
    </w:tbl>
    <w:p w14:paraId="74CD4D41" w14:textId="77777777" w:rsidR="008423E4" w:rsidRPr="00BE0E75" w:rsidRDefault="008423E4" w:rsidP="00883235">
      <w:pPr>
        <w:jc w:val="both"/>
        <w:rPr>
          <w:rFonts w:ascii="Arial" w:hAnsi="Arial"/>
          <w:sz w:val="16"/>
          <w:szCs w:val="16"/>
        </w:rPr>
      </w:pPr>
    </w:p>
    <w:p w14:paraId="0319B0D3" w14:textId="77777777" w:rsidR="004108C3" w:rsidRPr="008423E4" w:rsidRDefault="004108C3" w:rsidP="0088323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220EF" w14:textId="77777777" w:rsidR="00000000" w:rsidRDefault="00AE0E57">
      <w:r>
        <w:separator/>
      </w:r>
    </w:p>
  </w:endnote>
  <w:endnote w:type="continuationSeparator" w:id="0">
    <w:p w14:paraId="7171C6A2" w14:textId="77777777" w:rsidR="00000000" w:rsidRDefault="00AE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AF6C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745B7" w14:paraId="27EF153E" w14:textId="77777777" w:rsidTr="009C1E9A">
      <w:trPr>
        <w:cantSplit/>
      </w:trPr>
      <w:tc>
        <w:tcPr>
          <w:tcW w:w="0" w:type="pct"/>
        </w:tcPr>
        <w:p w14:paraId="29B1D7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6A435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A30CE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323C5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84130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45B7" w14:paraId="42713567" w14:textId="77777777" w:rsidTr="009C1E9A">
      <w:trPr>
        <w:cantSplit/>
      </w:trPr>
      <w:tc>
        <w:tcPr>
          <w:tcW w:w="0" w:type="pct"/>
        </w:tcPr>
        <w:p w14:paraId="1A0EA47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EC86B3B" w14:textId="1AAF3707" w:rsidR="00EC379B" w:rsidRPr="009C1E9A" w:rsidRDefault="00AE0E5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21240</w:t>
          </w:r>
        </w:p>
      </w:tc>
      <w:tc>
        <w:tcPr>
          <w:tcW w:w="2453" w:type="pct"/>
        </w:tcPr>
        <w:p w14:paraId="29C695E5" w14:textId="2EAF45EA" w:rsidR="00EC379B" w:rsidRDefault="00AE0E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D67F9">
            <w:t>21.112.306</w:t>
          </w:r>
          <w:r>
            <w:fldChar w:fldCharType="end"/>
          </w:r>
        </w:p>
      </w:tc>
    </w:tr>
    <w:tr w:rsidR="008745B7" w14:paraId="60E80A68" w14:textId="77777777" w:rsidTr="009C1E9A">
      <w:trPr>
        <w:cantSplit/>
      </w:trPr>
      <w:tc>
        <w:tcPr>
          <w:tcW w:w="0" w:type="pct"/>
        </w:tcPr>
        <w:p w14:paraId="0C1A87A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0D23C2C" w14:textId="476BE6B6" w:rsidR="00EC379B" w:rsidRPr="009C1E9A" w:rsidRDefault="00AE0E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19204</w:t>
          </w:r>
        </w:p>
      </w:tc>
      <w:tc>
        <w:tcPr>
          <w:tcW w:w="2453" w:type="pct"/>
        </w:tcPr>
        <w:p w14:paraId="4C5B5A8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7AC87F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45B7" w14:paraId="05E4ED4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0E41A2A" w14:textId="65D0AD82" w:rsidR="00EC379B" w:rsidRDefault="00AE0E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8323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9CC83B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A6E82D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0B1A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7C6C2" w14:textId="77777777" w:rsidR="00000000" w:rsidRDefault="00AE0E57">
      <w:r>
        <w:separator/>
      </w:r>
    </w:p>
  </w:footnote>
  <w:footnote w:type="continuationSeparator" w:id="0">
    <w:p w14:paraId="57C305E4" w14:textId="77777777" w:rsidR="00000000" w:rsidRDefault="00AE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F3AC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AD1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CD48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D96"/>
    <w:multiLevelType w:val="hybridMultilevel"/>
    <w:tmpl w:val="2F344CEC"/>
    <w:lvl w:ilvl="0" w:tplc="EAFEB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B6BA7B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6CA8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E920B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86CF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72083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95832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CFEEE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6735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C20BF"/>
    <w:multiLevelType w:val="hybridMultilevel"/>
    <w:tmpl w:val="DA4053CC"/>
    <w:lvl w:ilvl="0" w:tplc="F2567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A3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47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6C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A5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9E3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C3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6F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47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4D61"/>
    <w:multiLevelType w:val="hybridMultilevel"/>
    <w:tmpl w:val="96A4BE0C"/>
    <w:lvl w:ilvl="0" w:tplc="D64CB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D48A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683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07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69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30A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C1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26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67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F704D"/>
    <w:multiLevelType w:val="hybridMultilevel"/>
    <w:tmpl w:val="FC981A5A"/>
    <w:lvl w:ilvl="0" w:tplc="6B505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6B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349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07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86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9A7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485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42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5CE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3148A"/>
    <w:multiLevelType w:val="multilevel"/>
    <w:tmpl w:val="4A32D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F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9CF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2B25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995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055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058E"/>
    <w:rsid w:val="002116DD"/>
    <w:rsid w:val="0021353A"/>
    <w:rsid w:val="0021383D"/>
    <w:rsid w:val="00216BBA"/>
    <w:rsid w:val="00216E12"/>
    <w:rsid w:val="00217466"/>
    <w:rsid w:val="0021751D"/>
    <w:rsid w:val="00217C49"/>
    <w:rsid w:val="0022177D"/>
    <w:rsid w:val="00223A05"/>
    <w:rsid w:val="00224C37"/>
    <w:rsid w:val="002304DF"/>
    <w:rsid w:val="0023341D"/>
    <w:rsid w:val="002338DA"/>
    <w:rsid w:val="00233D66"/>
    <w:rsid w:val="00233FDB"/>
    <w:rsid w:val="00234F58"/>
    <w:rsid w:val="0023507D"/>
    <w:rsid w:val="002363FA"/>
    <w:rsid w:val="0024077A"/>
    <w:rsid w:val="00241EC1"/>
    <w:rsid w:val="00242652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2FA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1E0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221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5222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2EF3"/>
    <w:rsid w:val="003E5C73"/>
    <w:rsid w:val="003E663D"/>
    <w:rsid w:val="003E6CB0"/>
    <w:rsid w:val="003F1F5E"/>
    <w:rsid w:val="003F286A"/>
    <w:rsid w:val="003F5548"/>
    <w:rsid w:val="003F77F8"/>
    <w:rsid w:val="003F78E5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33F"/>
    <w:rsid w:val="00441F2F"/>
    <w:rsid w:val="0044228B"/>
    <w:rsid w:val="004454FE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0506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201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EEA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6DAE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7F9"/>
    <w:rsid w:val="006E0CAC"/>
    <w:rsid w:val="006E1CFB"/>
    <w:rsid w:val="006E1F94"/>
    <w:rsid w:val="006E26C1"/>
    <w:rsid w:val="006E30A8"/>
    <w:rsid w:val="006E45B0"/>
    <w:rsid w:val="006E5692"/>
    <w:rsid w:val="006F2934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8BF"/>
    <w:rsid w:val="00780FB6"/>
    <w:rsid w:val="00781109"/>
    <w:rsid w:val="0078552A"/>
    <w:rsid w:val="00785729"/>
    <w:rsid w:val="00785A8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6FF"/>
    <w:rsid w:val="00871775"/>
    <w:rsid w:val="00871AEF"/>
    <w:rsid w:val="008726E5"/>
    <w:rsid w:val="0087289E"/>
    <w:rsid w:val="008745B7"/>
    <w:rsid w:val="00874C05"/>
    <w:rsid w:val="0087680A"/>
    <w:rsid w:val="008806EB"/>
    <w:rsid w:val="008826F2"/>
    <w:rsid w:val="00883235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4D13"/>
    <w:rsid w:val="008F5E16"/>
    <w:rsid w:val="008F5EFC"/>
    <w:rsid w:val="00901670"/>
    <w:rsid w:val="00902212"/>
    <w:rsid w:val="00903E0A"/>
    <w:rsid w:val="00904721"/>
    <w:rsid w:val="0090608A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C7E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654"/>
    <w:rsid w:val="009E3631"/>
    <w:rsid w:val="009E3EB9"/>
    <w:rsid w:val="009E69C2"/>
    <w:rsid w:val="009E70AF"/>
    <w:rsid w:val="009E7AEB"/>
    <w:rsid w:val="009F1B37"/>
    <w:rsid w:val="009F2395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135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0A05"/>
    <w:rsid w:val="00AC2E9A"/>
    <w:rsid w:val="00AC5AAB"/>
    <w:rsid w:val="00AC5AEC"/>
    <w:rsid w:val="00AC5F28"/>
    <w:rsid w:val="00AC6900"/>
    <w:rsid w:val="00AD304B"/>
    <w:rsid w:val="00AD4497"/>
    <w:rsid w:val="00AD7780"/>
    <w:rsid w:val="00AE0E57"/>
    <w:rsid w:val="00AE1767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0F7"/>
    <w:rsid w:val="00B25612"/>
    <w:rsid w:val="00B26437"/>
    <w:rsid w:val="00B2678E"/>
    <w:rsid w:val="00B30647"/>
    <w:rsid w:val="00B31F0E"/>
    <w:rsid w:val="00B34F25"/>
    <w:rsid w:val="00B43672"/>
    <w:rsid w:val="00B473D8"/>
    <w:rsid w:val="00B5077B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ADF"/>
    <w:rsid w:val="00C878A1"/>
    <w:rsid w:val="00C9047F"/>
    <w:rsid w:val="00C90B54"/>
    <w:rsid w:val="00C91F65"/>
    <w:rsid w:val="00C92310"/>
    <w:rsid w:val="00C92EC8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0BA"/>
    <w:rsid w:val="00CB3627"/>
    <w:rsid w:val="00CB4A89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4790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48EF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1B25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555C"/>
    <w:rsid w:val="00EA658E"/>
    <w:rsid w:val="00EA7A88"/>
    <w:rsid w:val="00EB27F2"/>
    <w:rsid w:val="00EB3928"/>
    <w:rsid w:val="00EB5373"/>
    <w:rsid w:val="00EC02A2"/>
    <w:rsid w:val="00EC379B"/>
    <w:rsid w:val="00EC37DF"/>
    <w:rsid w:val="00EC390D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1CE9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3F7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016D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6D2A9D-F617-4F21-8AE6-5A10020D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2EC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31C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1C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1C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1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1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</Words>
  <Characters>5142</Characters>
  <Application>Microsoft Office Word</Application>
  <DocSecurity>4</DocSecurity>
  <Lines>111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HB02788 (Committee Report (Substituted))</vt:lpstr>
    </vt:vector>
  </TitlesOfParts>
  <Company>State of Texas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21240</dc:subject>
  <dc:creator>State of Texas</dc:creator>
  <dc:description>HB 2788 by Leach-(H)Judiciary &amp; Civil Jurisprudence (Substitute Document Number: 87R 19204)</dc:description>
  <cp:lastModifiedBy>Stacey Nicchio</cp:lastModifiedBy>
  <cp:revision>2</cp:revision>
  <cp:lastPrinted>2003-11-26T17:21:00Z</cp:lastPrinted>
  <dcterms:created xsi:type="dcterms:W3CDTF">2021-04-26T16:57:00Z</dcterms:created>
  <dcterms:modified xsi:type="dcterms:W3CDTF">2021-04-26T16:57:00Z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21.112.306</vt:lpwstr>
  </property>
</Properties>
</file>