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30787" w14:paraId="17F081B7" w14:textId="77777777" w:rsidTr="00345119">
        <w:tc>
          <w:tcPr>
            <w:tcW w:w="9576" w:type="dxa"/>
            <w:noWrap/>
          </w:tcPr>
          <w:p w14:paraId="47DD82D2" w14:textId="77777777" w:rsidR="008423E4" w:rsidRPr="0022177D" w:rsidRDefault="00954246" w:rsidP="00BC5DC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0AD11A4" w14:textId="77777777" w:rsidR="008423E4" w:rsidRPr="0022177D" w:rsidRDefault="008423E4" w:rsidP="00BC5DC8">
      <w:pPr>
        <w:jc w:val="center"/>
      </w:pPr>
    </w:p>
    <w:p w14:paraId="0A8A70FC" w14:textId="77777777" w:rsidR="008423E4" w:rsidRPr="00B31F0E" w:rsidRDefault="008423E4" w:rsidP="00BC5DC8"/>
    <w:p w14:paraId="7C1D340F" w14:textId="77777777" w:rsidR="008423E4" w:rsidRPr="00742794" w:rsidRDefault="008423E4" w:rsidP="00BC5DC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30787" w14:paraId="7F96D3BE" w14:textId="77777777" w:rsidTr="00345119">
        <w:tc>
          <w:tcPr>
            <w:tcW w:w="9576" w:type="dxa"/>
          </w:tcPr>
          <w:p w14:paraId="076317DB" w14:textId="1D4AE77E" w:rsidR="008423E4" w:rsidRPr="00861995" w:rsidRDefault="00954246" w:rsidP="00BC5DC8">
            <w:pPr>
              <w:jc w:val="right"/>
            </w:pPr>
            <w:r>
              <w:t>C.S.H.B. 3037</w:t>
            </w:r>
          </w:p>
        </w:tc>
      </w:tr>
      <w:tr w:rsidR="00630787" w14:paraId="154C4306" w14:textId="77777777" w:rsidTr="00345119">
        <w:tc>
          <w:tcPr>
            <w:tcW w:w="9576" w:type="dxa"/>
          </w:tcPr>
          <w:p w14:paraId="58462026" w14:textId="350BA568" w:rsidR="008423E4" w:rsidRPr="00861995" w:rsidRDefault="00954246" w:rsidP="00BC5DC8">
            <w:pPr>
              <w:jc w:val="right"/>
            </w:pPr>
            <w:r>
              <w:t xml:space="preserve">By: </w:t>
            </w:r>
            <w:r w:rsidR="007B3D0F">
              <w:t>Raymond</w:t>
            </w:r>
          </w:p>
        </w:tc>
      </w:tr>
      <w:tr w:rsidR="00630787" w14:paraId="79C7B04F" w14:textId="77777777" w:rsidTr="00345119">
        <w:tc>
          <w:tcPr>
            <w:tcW w:w="9576" w:type="dxa"/>
          </w:tcPr>
          <w:p w14:paraId="29B40244" w14:textId="480792EA" w:rsidR="008423E4" w:rsidRPr="00861995" w:rsidRDefault="00954246" w:rsidP="00BC5DC8">
            <w:pPr>
              <w:jc w:val="right"/>
            </w:pPr>
            <w:r>
              <w:t>Human Services</w:t>
            </w:r>
          </w:p>
        </w:tc>
      </w:tr>
      <w:tr w:rsidR="00630787" w14:paraId="7C39CE87" w14:textId="77777777" w:rsidTr="00345119">
        <w:tc>
          <w:tcPr>
            <w:tcW w:w="9576" w:type="dxa"/>
          </w:tcPr>
          <w:p w14:paraId="7CC3BD15" w14:textId="3C7C096C" w:rsidR="008423E4" w:rsidRDefault="00954246" w:rsidP="00BC5DC8">
            <w:pPr>
              <w:jc w:val="right"/>
            </w:pPr>
            <w:r>
              <w:t>Committee Report (Substituted)</w:t>
            </w:r>
          </w:p>
        </w:tc>
      </w:tr>
    </w:tbl>
    <w:p w14:paraId="50B513A4" w14:textId="77777777" w:rsidR="008423E4" w:rsidRDefault="008423E4" w:rsidP="00BC5DC8">
      <w:pPr>
        <w:tabs>
          <w:tab w:val="right" w:pos="9360"/>
        </w:tabs>
      </w:pPr>
    </w:p>
    <w:p w14:paraId="4DBF6B7F" w14:textId="77777777" w:rsidR="008423E4" w:rsidRDefault="008423E4" w:rsidP="00BC5DC8"/>
    <w:p w14:paraId="438BB6B6" w14:textId="77777777" w:rsidR="008423E4" w:rsidRDefault="008423E4" w:rsidP="00BC5DC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30787" w14:paraId="6CA76644" w14:textId="77777777" w:rsidTr="001744F0">
        <w:tc>
          <w:tcPr>
            <w:tcW w:w="9360" w:type="dxa"/>
          </w:tcPr>
          <w:p w14:paraId="61ED3A35" w14:textId="77777777" w:rsidR="008423E4" w:rsidRPr="00A8133F" w:rsidRDefault="00954246" w:rsidP="00BC5DC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4DEF824" w14:textId="77777777" w:rsidR="008423E4" w:rsidRDefault="008423E4" w:rsidP="00BC5DC8"/>
          <w:p w14:paraId="58E264B4" w14:textId="06D5235A" w:rsidR="008423E4" w:rsidRDefault="00954246" w:rsidP="00BC5DC8">
            <w:pPr>
              <w:pStyle w:val="Header"/>
              <w:jc w:val="both"/>
            </w:pPr>
            <w:r>
              <w:t xml:space="preserve">Concerns have been raised regarding the </w:t>
            </w:r>
            <w:r w:rsidR="00936A62">
              <w:t>lack of regulation for</w:t>
            </w:r>
            <w:r>
              <w:t xml:space="preserve"> </w:t>
            </w:r>
            <w:r w:rsidRPr="005B7B69">
              <w:t xml:space="preserve">agencies that provide consumer referrals to senior living communities </w:t>
            </w:r>
            <w:r w:rsidRPr="005B7B69">
              <w:t>for a fee</w:t>
            </w:r>
            <w:r>
              <w:t xml:space="preserve">. Leaders of this industry have called for the state to implement a stringent yet workable </w:t>
            </w:r>
            <w:r w:rsidR="00936A62">
              <w:t xml:space="preserve">modern </w:t>
            </w:r>
            <w:r>
              <w:t>regulatory scheme</w:t>
            </w:r>
            <w:r w:rsidR="00607AA2">
              <w:t xml:space="preserve"> within which to operate</w:t>
            </w:r>
            <w:r>
              <w:t xml:space="preserve">, given that existing law does not account for </w:t>
            </w:r>
            <w:r w:rsidR="00607AA2">
              <w:t>the senior living referral industry</w:t>
            </w:r>
            <w:r w:rsidR="00936A62">
              <w:t xml:space="preserve"> as it functions in </w:t>
            </w:r>
            <w:r w:rsidR="00607AA2">
              <w:t>its current form</w:t>
            </w:r>
            <w:r w:rsidR="00936A62">
              <w:t>. It has been suggested that implementing such a framework could shape the</w:t>
            </w:r>
            <w:r w:rsidR="00607AA2">
              <w:t xml:space="preserve"> standard </w:t>
            </w:r>
            <w:r w:rsidR="00936A62">
              <w:t>nationwide f</w:t>
            </w:r>
            <w:r w:rsidR="00607AA2">
              <w:t>or protecting potential residents from bad</w:t>
            </w:r>
            <w:r w:rsidR="00936A62">
              <w:t xml:space="preserve"> </w:t>
            </w:r>
            <w:r w:rsidR="00607AA2">
              <w:t xml:space="preserve">actors in </w:t>
            </w:r>
            <w:r w:rsidR="00936A62">
              <w:t>the industry. C.S.H.B.</w:t>
            </w:r>
            <w:r w:rsidR="00344FFD">
              <w:t> </w:t>
            </w:r>
            <w:r w:rsidR="00936A62">
              <w:t>3037 seeks to address this issue by providing for the statewide regulation of these agencies.</w:t>
            </w:r>
          </w:p>
          <w:p w14:paraId="003E2F40" w14:textId="77777777" w:rsidR="008423E4" w:rsidRPr="00E26B13" w:rsidRDefault="008423E4" w:rsidP="00BC5DC8">
            <w:pPr>
              <w:rPr>
                <w:b/>
              </w:rPr>
            </w:pPr>
          </w:p>
        </w:tc>
      </w:tr>
      <w:tr w:rsidR="00630787" w14:paraId="585FDC7E" w14:textId="77777777" w:rsidTr="001744F0">
        <w:tc>
          <w:tcPr>
            <w:tcW w:w="9360" w:type="dxa"/>
          </w:tcPr>
          <w:p w14:paraId="6D0B2B7F" w14:textId="77777777" w:rsidR="0017725B" w:rsidRDefault="00954246" w:rsidP="00BC5D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90ABD5" w14:textId="77777777" w:rsidR="0017725B" w:rsidRDefault="0017725B" w:rsidP="00BC5DC8">
            <w:pPr>
              <w:rPr>
                <w:b/>
                <w:u w:val="single"/>
              </w:rPr>
            </w:pPr>
          </w:p>
          <w:p w14:paraId="19B0ED30" w14:textId="77777777" w:rsidR="0017725B" w:rsidRDefault="00954246" w:rsidP="00BC5DC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</w:t>
            </w:r>
            <w:r>
              <w:t>n for community supervision, parole, or mandatory supervision.</w:t>
            </w:r>
          </w:p>
          <w:p w14:paraId="291CFE98" w14:textId="1C44E279" w:rsidR="00B46425" w:rsidRPr="00282364" w:rsidRDefault="00B46425" w:rsidP="00BC5DC8">
            <w:pPr>
              <w:jc w:val="both"/>
            </w:pPr>
          </w:p>
        </w:tc>
      </w:tr>
      <w:tr w:rsidR="00630787" w14:paraId="07605BFF" w14:textId="77777777" w:rsidTr="001744F0">
        <w:tc>
          <w:tcPr>
            <w:tcW w:w="9360" w:type="dxa"/>
          </w:tcPr>
          <w:p w14:paraId="709AAE5A" w14:textId="77777777" w:rsidR="008423E4" w:rsidRPr="00A8133F" w:rsidRDefault="00954246" w:rsidP="00BC5DC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1FB811" w14:textId="77777777" w:rsidR="008423E4" w:rsidRDefault="008423E4" w:rsidP="00BC5DC8"/>
          <w:p w14:paraId="445F6E2E" w14:textId="77777777" w:rsidR="008423E4" w:rsidRDefault="00954246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0E54A4D" w14:textId="27F02F9D" w:rsidR="00B46425" w:rsidRPr="00282364" w:rsidRDefault="00B46425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30787" w14:paraId="5D057C1A" w14:textId="77777777" w:rsidTr="001744F0">
        <w:tc>
          <w:tcPr>
            <w:tcW w:w="9360" w:type="dxa"/>
          </w:tcPr>
          <w:p w14:paraId="16B5E7F5" w14:textId="38EF0D1D" w:rsidR="008423E4" w:rsidRDefault="00954246" w:rsidP="00BC5DC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5D6EB39" w14:textId="77777777" w:rsidR="00BC5DC8" w:rsidRPr="00F90FA2" w:rsidRDefault="00BC5DC8" w:rsidP="00BC5DC8">
            <w:pPr>
              <w:rPr>
                <w:b/>
              </w:rPr>
            </w:pPr>
          </w:p>
          <w:p w14:paraId="1AAD2C10" w14:textId="39B9E9F2" w:rsidR="00C87BFD" w:rsidRDefault="00954246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569A9">
              <w:t xml:space="preserve">H.B. 3037 amends </w:t>
            </w:r>
            <w:r w:rsidR="0036653F">
              <w:t xml:space="preserve">the Health and Safety Code to </w:t>
            </w:r>
            <w:r w:rsidR="00FB55A9">
              <w:t>provide for the regulation of</w:t>
            </w:r>
            <w:r>
              <w:t xml:space="preserve"> </w:t>
            </w:r>
            <w:r w:rsidR="0036653F">
              <w:t>agenc</w:t>
            </w:r>
            <w:r w:rsidR="00FB55A9">
              <w:t>ies</w:t>
            </w:r>
            <w:r w:rsidR="0036653F">
              <w:t xml:space="preserve"> </w:t>
            </w:r>
            <w:r w:rsidRPr="00C87BFD">
              <w:t xml:space="preserve">that provide consumer referrals </w:t>
            </w:r>
            <w:r>
              <w:t xml:space="preserve">to </w:t>
            </w:r>
            <w:r w:rsidR="00AB378C">
              <w:t xml:space="preserve">senior living communities </w:t>
            </w:r>
            <w:r w:rsidRPr="00C87BFD">
              <w:t>for a fee collected from the consumer or community</w:t>
            </w:r>
            <w:r>
              <w:t>.</w:t>
            </w:r>
            <w:r w:rsidR="00944380">
              <w:t xml:space="preserve"> </w:t>
            </w:r>
            <w:r w:rsidR="00FB586E">
              <w:t>The bill specifies</w:t>
            </w:r>
            <w:r w:rsidR="004561FD">
              <w:t xml:space="preserve"> </w:t>
            </w:r>
            <w:r w:rsidR="00FB586E">
              <w:t xml:space="preserve">what constitutes a senior living community and which entities </w:t>
            </w:r>
            <w:r w:rsidR="001C7704">
              <w:t xml:space="preserve">are not considered a </w:t>
            </w:r>
            <w:r w:rsidR="004561FD">
              <w:t xml:space="preserve">referral </w:t>
            </w:r>
            <w:r w:rsidR="001C7704">
              <w:t>agency</w:t>
            </w:r>
            <w:r w:rsidR="00FB586E">
              <w:t xml:space="preserve"> subject to the bill's provisions.</w:t>
            </w:r>
          </w:p>
          <w:p w14:paraId="592DB4A6" w14:textId="77777777" w:rsidR="00C87BFD" w:rsidRDefault="00C87BFD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C8108B5" w14:textId="4CE50F68" w:rsidR="009B6001" w:rsidRDefault="00954246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F164A">
              <w:t xml:space="preserve">H.B. 3037 </w:t>
            </w:r>
            <w:r w:rsidR="00086B23">
              <w:t>requir</w:t>
            </w:r>
            <w:r w:rsidR="00EF164A">
              <w:t>es</w:t>
            </w:r>
            <w:r w:rsidR="00086B23">
              <w:t xml:space="preserve"> a</w:t>
            </w:r>
            <w:r w:rsidR="00EF164A">
              <w:t xml:space="preserve"> referral</w:t>
            </w:r>
            <w:r w:rsidR="00086B23">
              <w:t xml:space="preserve"> agency to </w:t>
            </w:r>
            <w:r w:rsidR="009A59A9">
              <w:t xml:space="preserve">provide </w:t>
            </w:r>
            <w:r w:rsidR="00944380">
              <w:t xml:space="preserve">a </w:t>
            </w:r>
            <w:r w:rsidR="00AB378C" w:rsidRPr="00AB378C">
              <w:t>statement to a consumer</w:t>
            </w:r>
            <w:r w:rsidR="00AB378C">
              <w:t>, b</w:t>
            </w:r>
            <w:r w:rsidR="00AB378C" w:rsidRPr="00AB378C">
              <w:t xml:space="preserve">efore or at the time of </w:t>
            </w:r>
            <w:r w:rsidR="00282364">
              <w:t>a</w:t>
            </w:r>
            <w:r w:rsidR="00AB378C" w:rsidRPr="00AB378C">
              <w:t xml:space="preserve"> referral</w:t>
            </w:r>
            <w:r w:rsidR="0096274C">
              <w:t xml:space="preserve">, disclosing certain information about the agency and whether </w:t>
            </w:r>
            <w:r w:rsidR="0096274C" w:rsidRPr="0096274C">
              <w:t xml:space="preserve">the community to which the consumer is referred is responsible for paying </w:t>
            </w:r>
            <w:r w:rsidR="00EF164A">
              <w:t>the</w:t>
            </w:r>
            <w:r w:rsidR="0096274C">
              <w:t xml:space="preserve"> </w:t>
            </w:r>
            <w:r w:rsidR="0096274C" w:rsidRPr="0096274C">
              <w:t>referral fee</w:t>
            </w:r>
            <w:r w:rsidR="00EF164A">
              <w:t xml:space="preserve">. The statement must be </w:t>
            </w:r>
            <w:r w:rsidR="00F81640" w:rsidRPr="00F81640">
              <w:t>provide</w:t>
            </w:r>
            <w:r w:rsidR="00EF164A">
              <w:t>d</w:t>
            </w:r>
            <w:r w:rsidR="00F81640" w:rsidRPr="00F81640">
              <w:t xml:space="preserve"> </w:t>
            </w:r>
            <w:r w:rsidR="00ED550C">
              <w:t xml:space="preserve">to </w:t>
            </w:r>
            <w:r w:rsidR="00725484">
              <w:t xml:space="preserve">the </w:t>
            </w:r>
            <w:r w:rsidR="00ED550C">
              <w:t xml:space="preserve">consumer or consumer's representative </w:t>
            </w:r>
            <w:r w:rsidR="00EF164A">
              <w:t xml:space="preserve">by </w:t>
            </w:r>
            <w:r w:rsidR="00F81640" w:rsidRPr="00F81640">
              <w:t>written or electronic means or by an oral disclosure over the telephone</w:t>
            </w:r>
            <w:r w:rsidR="00EF164A">
              <w:t xml:space="preserve">. The bill requires the agency to </w:t>
            </w:r>
            <w:r>
              <w:t xml:space="preserve">maintain </w:t>
            </w:r>
            <w:r w:rsidR="00944380">
              <w:t>a record of</w:t>
            </w:r>
            <w:r w:rsidRPr="009B6001">
              <w:t xml:space="preserve"> the statement until the third anniversary of the date of the referral</w:t>
            </w:r>
            <w:r>
              <w:t xml:space="preserve"> and</w:t>
            </w:r>
            <w:r w:rsidR="00EF164A">
              <w:t xml:space="preserve"> to </w:t>
            </w:r>
            <w:r w:rsidRPr="009B6001">
              <w:t>provide on request a copy of the record to the consumer, the consumer's representativ</w:t>
            </w:r>
            <w:r>
              <w:t>e, or a senior living</w:t>
            </w:r>
            <w:r>
              <w:t xml:space="preserve"> community.</w:t>
            </w:r>
          </w:p>
          <w:p w14:paraId="6D37E064" w14:textId="77777777" w:rsidR="009B6001" w:rsidRDefault="009B6001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3A857F6" w14:textId="6F25A4B6" w:rsidR="009B6001" w:rsidRDefault="00954246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3037 prohibits </w:t>
            </w:r>
            <w:r w:rsidR="00C23751">
              <w:t xml:space="preserve">a </w:t>
            </w:r>
            <w:r>
              <w:t xml:space="preserve">referral agency </w:t>
            </w:r>
            <w:r w:rsidR="009A59A9">
              <w:t xml:space="preserve">or </w:t>
            </w:r>
            <w:r w:rsidR="00FB586E">
              <w:t>an</w:t>
            </w:r>
            <w:r w:rsidR="00C23751">
              <w:t xml:space="preserve"> </w:t>
            </w:r>
            <w:r w:rsidR="00ED550C">
              <w:t xml:space="preserve">agency </w:t>
            </w:r>
            <w:r w:rsidR="009A59A9">
              <w:t>employee</w:t>
            </w:r>
            <w:r w:rsidR="00725484">
              <w:t xml:space="preserve"> </w:t>
            </w:r>
            <w:r>
              <w:t xml:space="preserve">from </w:t>
            </w:r>
            <w:r w:rsidR="009A59A9">
              <w:t xml:space="preserve">doing </w:t>
            </w:r>
            <w:r w:rsidR="00C23751">
              <w:t xml:space="preserve">any </w:t>
            </w:r>
            <w:r w:rsidR="00725484">
              <w:t xml:space="preserve">of </w:t>
            </w:r>
            <w:r w:rsidR="009A59A9">
              <w:t>the following:</w:t>
            </w:r>
          </w:p>
          <w:p w14:paraId="3C43471E" w14:textId="18AE0C21" w:rsidR="009A59A9" w:rsidRDefault="00954246" w:rsidP="00BC5DC8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referring a consumer to a community in which the agency, the employee, or </w:t>
            </w:r>
            <w:r w:rsidR="00C23751">
              <w:t xml:space="preserve">the employee's </w:t>
            </w:r>
            <w:r>
              <w:t>immediate family member, as applicable, has an ownership,</w:t>
            </w:r>
            <w:r>
              <w:t xml:space="preserve"> management, or financial interest;</w:t>
            </w:r>
          </w:p>
          <w:p w14:paraId="7C0C2010" w14:textId="77777777" w:rsidR="009A59A9" w:rsidRDefault="00954246" w:rsidP="00BC5DC8">
            <w:pPr>
              <w:pStyle w:val="Header"/>
              <w:numPr>
                <w:ilvl w:val="0"/>
                <w:numId w:val="2"/>
              </w:numPr>
              <w:jc w:val="both"/>
            </w:pPr>
            <w:r>
              <w:t>holding a power of attorney for a consumer or holding a consumer's property in any capacity; or</w:t>
            </w:r>
          </w:p>
          <w:p w14:paraId="783701AA" w14:textId="6523E5E6" w:rsidR="009A59A9" w:rsidRDefault="00954246" w:rsidP="00BC5DC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knowingly referring a consumer to a community that is unlicensed and is not exempt from licensing under </w:t>
            </w:r>
            <w:r w:rsidR="00C23751">
              <w:t xml:space="preserve">the </w:t>
            </w:r>
            <w:r>
              <w:t>law.</w:t>
            </w:r>
          </w:p>
          <w:p w14:paraId="7147E0B3" w14:textId="77777777" w:rsidR="009A59A9" w:rsidRDefault="009A59A9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D841C4D" w14:textId="5D82D5A2" w:rsidR="009A59A9" w:rsidRDefault="00954246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</w:t>
            </w:r>
            <w:r>
              <w:t xml:space="preserve">037 requires </w:t>
            </w:r>
            <w:r w:rsidR="00C23751">
              <w:t xml:space="preserve">a </w:t>
            </w:r>
            <w:r w:rsidR="00944380" w:rsidRPr="00944380">
              <w:t>referral agency</w:t>
            </w:r>
            <w:r w:rsidR="00095371">
              <w:t xml:space="preserve"> to do the following:</w:t>
            </w:r>
          </w:p>
          <w:p w14:paraId="003E97C2" w14:textId="4B8F0721" w:rsidR="00095371" w:rsidRDefault="00954246" w:rsidP="00BC5DC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use a nationally accredited service provider to </w:t>
            </w:r>
            <w:r w:rsidRPr="00095371">
              <w:t>obtain criminal history record information</w:t>
            </w:r>
            <w:r w:rsidR="006D7A24">
              <w:t xml:space="preserve"> </w:t>
            </w:r>
            <w:r w:rsidRPr="00095371">
              <w:t xml:space="preserve">on </w:t>
            </w:r>
            <w:r>
              <w:t>an</w:t>
            </w:r>
            <w:r w:rsidRPr="00095371">
              <w:t xml:space="preserve"> </w:t>
            </w:r>
            <w:r>
              <w:t xml:space="preserve">agency </w:t>
            </w:r>
            <w:r w:rsidRPr="00095371">
              <w:t>employee who has direct contact with a consumer or a consumer's representative;</w:t>
            </w:r>
          </w:p>
          <w:p w14:paraId="7C50A299" w14:textId="45F3E9F7" w:rsidR="00095371" w:rsidRDefault="00954246" w:rsidP="00BC5DC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provide all employee</w:t>
            </w:r>
            <w:r>
              <w:t xml:space="preserve">s </w:t>
            </w:r>
            <w:r w:rsidR="000C7087">
              <w:t xml:space="preserve">whose job responsibilities require such direct contact </w:t>
            </w:r>
            <w:r w:rsidRPr="00095371">
              <w:t>with at least 40</w:t>
            </w:r>
            <w:r>
              <w:t xml:space="preserve"> hours of introductory training</w:t>
            </w:r>
            <w:r w:rsidR="00C23751" w:rsidRPr="00C23751">
              <w:t xml:space="preserve"> before the employee begins performing those responsibilities</w:t>
            </w:r>
            <w:r>
              <w:t>;</w:t>
            </w:r>
          </w:p>
          <w:p w14:paraId="3C7ABF78" w14:textId="080853E8" w:rsidR="00095371" w:rsidRDefault="00954246" w:rsidP="00BC5DC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095371">
              <w:t>maintain liability insurance coverage</w:t>
            </w:r>
            <w:r w:rsidR="00C23751">
              <w:t xml:space="preserve"> </w:t>
            </w:r>
            <w:r w:rsidR="00C23751" w:rsidRPr="00C23751">
              <w:t>for negligent acts or omissions by the agency or its employees</w:t>
            </w:r>
            <w:r w:rsidR="00282364">
              <w:t>;</w:t>
            </w:r>
          </w:p>
          <w:p w14:paraId="4C10386F" w14:textId="60BCBB53" w:rsidR="00095371" w:rsidRDefault="00954246" w:rsidP="00BC5DC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095371">
              <w:t xml:space="preserve">audit </w:t>
            </w:r>
            <w:r w:rsidR="00C23751">
              <w:t>at least twice a year</w:t>
            </w:r>
            <w:r w:rsidR="00C23751" w:rsidRPr="00095371">
              <w:t xml:space="preserve"> </w:t>
            </w:r>
            <w:r w:rsidRPr="00095371">
              <w:t>each community to which the agency provides referrals</w:t>
            </w:r>
            <w:r>
              <w:t xml:space="preserve"> </w:t>
            </w:r>
            <w:r w:rsidRPr="00095371">
              <w:t>to ensure that any applicable license is in good standing</w:t>
            </w:r>
            <w:r w:rsidR="00FB586E" w:rsidRPr="00095371">
              <w:t xml:space="preserve"> </w:t>
            </w:r>
            <w:r w:rsidR="00FB586E">
              <w:t xml:space="preserve">and </w:t>
            </w:r>
            <w:r w:rsidR="00FB586E" w:rsidRPr="00095371">
              <w:t xml:space="preserve">maintain a record of </w:t>
            </w:r>
            <w:r w:rsidR="00FB586E">
              <w:t>each</w:t>
            </w:r>
            <w:r w:rsidR="00FB586E" w:rsidRPr="00095371">
              <w:t xml:space="preserve"> audit</w:t>
            </w:r>
            <w:r w:rsidR="006D7A24">
              <w:t>;</w:t>
            </w:r>
          </w:p>
          <w:p w14:paraId="4E0BCF07" w14:textId="5DED2028" w:rsidR="00095371" w:rsidRDefault="00954246" w:rsidP="00BC5DC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095371">
              <w:t>maintain a code of conduct applicable to all agency employees</w:t>
            </w:r>
            <w:r>
              <w:t>;</w:t>
            </w:r>
          </w:p>
          <w:p w14:paraId="6DA70A51" w14:textId="16EAF448" w:rsidR="00095371" w:rsidRDefault="00954246" w:rsidP="00BC5DC8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disclose </w:t>
            </w:r>
            <w:r w:rsidRPr="00607AA2">
              <w:t xml:space="preserve">to </w:t>
            </w:r>
            <w:r w:rsidR="00FB6456">
              <w:t>a</w:t>
            </w:r>
            <w:r w:rsidRPr="00607AA2">
              <w:t xml:space="preserve"> consumer or the consumer's representative all communities that best meet the consumer's stated criteria that are located in the closest proximity to the consumer's preferred location</w:t>
            </w:r>
            <w:r>
              <w:t xml:space="preserve">; </w:t>
            </w:r>
          </w:p>
          <w:p w14:paraId="3ADCF286" w14:textId="77777777" w:rsidR="00D24AF4" w:rsidRDefault="00954246" w:rsidP="00BC5DC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maintain and publish a privacy policy on </w:t>
            </w:r>
            <w:r w:rsidR="000C7087">
              <w:t>its</w:t>
            </w:r>
            <w:r>
              <w:t xml:space="preserve"> website; and</w:t>
            </w:r>
            <w:r>
              <w:t xml:space="preserve"> </w:t>
            </w:r>
          </w:p>
          <w:p w14:paraId="3C43B7C4" w14:textId="4EAA2142" w:rsidR="00095371" w:rsidRDefault="00954246" w:rsidP="00BC5DC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maintain and publish a telephone number and email address for privacy inquiries.</w:t>
            </w:r>
          </w:p>
          <w:p w14:paraId="0CEDBB3D" w14:textId="77777777" w:rsidR="006640B4" w:rsidRDefault="006640B4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34CF41" w14:textId="09CEE2C1" w:rsidR="006640B4" w:rsidRDefault="00954246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E4DA8">
              <w:t>H.B. 3037</w:t>
            </w:r>
            <w:r w:rsidR="00F81640">
              <w:t xml:space="preserve"> </w:t>
            </w:r>
            <w:r>
              <w:t>subjects a</w:t>
            </w:r>
            <w:r w:rsidR="005E4DA8">
              <w:t xml:space="preserve"> referral</w:t>
            </w:r>
            <w:r w:rsidR="00F81640">
              <w:t xml:space="preserve"> </w:t>
            </w:r>
            <w:r w:rsidRPr="006640B4">
              <w:t>agency that violates</w:t>
            </w:r>
            <w:r>
              <w:t xml:space="preserve"> the bill's provisions </w:t>
            </w:r>
            <w:r w:rsidRPr="006640B4">
              <w:t>to a civil penalty</w:t>
            </w:r>
            <w:r w:rsidR="005E4DA8">
              <w:t xml:space="preserve"> in an amount between $250 and $1,000 for each violation</w:t>
            </w:r>
            <w:r w:rsidR="00F81640">
              <w:t xml:space="preserve">. The bill </w:t>
            </w:r>
            <w:r w:rsidR="005E4DA8">
              <w:t>authorizes</w:t>
            </w:r>
            <w:r>
              <w:t xml:space="preserve"> the </w:t>
            </w:r>
            <w:r w:rsidRPr="006640B4">
              <w:t xml:space="preserve">attorney general or a district attorney </w:t>
            </w:r>
            <w:r>
              <w:t>to</w:t>
            </w:r>
            <w:r w:rsidRPr="006640B4">
              <w:t xml:space="preserve"> bring an action to recover </w:t>
            </w:r>
            <w:r>
              <w:t>the civil penalty</w:t>
            </w:r>
            <w:r w:rsidR="005E4DA8">
              <w:t xml:space="preserve"> and to</w:t>
            </w:r>
            <w:r w:rsidR="00935C45">
              <w:t xml:space="preserve"> </w:t>
            </w:r>
            <w:r>
              <w:t xml:space="preserve">restrain and enjoin </w:t>
            </w:r>
            <w:r w:rsidR="005E4DA8">
              <w:t>a</w:t>
            </w:r>
            <w:r>
              <w:t xml:space="preserve"> violation</w:t>
            </w:r>
            <w:r w:rsidR="00D24AF4">
              <w:t xml:space="preserve"> and provides for the</w:t>
            </w:r>
            <w:r w:rsidRPr="006640B4">
              <w:t xml:space="preserve"> recover</w:t>
            </w:r>
            <w:r w:rsidR="00D24AF4">
              <w:t>y of</w:t>
            </w:r>
            <w:r w:rsidRPr="006640B4">
              <w:t xml:space="preserve"> attorney's fees and litigation costs incurred in bringing the action.</w:t>
            </w:r>
          </w:p>
          <w:p w14:paraId="5FFFBE03" w14:textId="77777777" w:rsidR="00722E64" w:rsidRDefault="00722E64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2324B1F" w14:textId="77777777" w:rsidR="008423E4" w:rsidRDefault="00954246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22E64">
              <w:t>H.B. 3037 amends the Occupations Code to exempt a referral agency from</w:t>
            </w:r>
            <w:r w:rsidR="00282364">
              <w:t xml:space="preserve"> </w:t>
            </w:r>
            <w:r w:rsidR="00722E64">
              <w:t xml:space="preserve">provisions </w:t>
            </w:r>
            <w:r w:rsidR="004376F6">
              <w:t xml:space="preserve">establishing </w:t>
            </w:r>
            <w:r w:rsidR="00C87BFD">
              <w:t>an offense involving the</w:t>
            </w:r>
            <w:r w:rsidR="00722E64">
              <w:t xml:space="preserve"> solicitation of patients.  </w:t>
            </w:r>
          </w:p>
          <w:p w14:paraId="71296B47" w14:textId="57F6CD64" w:rsidR="00EF555E" w:rsidRPr="00F90FA2" w:rsidRDefault="00EF555E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30787" w14:paraId="3267C423" w14:textId="77777777" w:rsidTr="001744F0">
        <w:tc>
          <w:tcPr>
            <w:tcW w:w="9360" w:type="dxa"/>
          </w:tcPr>
          <w:p w14:paraId="3676CE48" w14:textId="77777777" w:rsidR="008423E4" w:rsidRPr="00A8133F" w:rsidRDefault="00954246" w:rsidP="00BC5DC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D47C06" w14:textId="77777777" w:rsidR="008423E4" w:rsidRDefault="008423E4" w:rsidP="00BC5DC8"/>
          <w:p w14:paraId="26C8A955" w14:textId="77777777" w:rsidR="008423E4" w:rsidRDefault="00954246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0A699D2" w14:textId="17AEC502" w:rsidR="00B46425" w:rsidRPr="00F90FA2" w:rsidRDefault="00B46425" w:rsidP="00BC5D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30787" w14:paraId="43E7A77F" w14:textId="77777777" w:rsidTr="001744F0">
        <w:tc>
          <w:tcPr>
            <w:tcW w:w="9360" w:type="dxa"/>
          </w:tcPr>
          <w:p w14:paraId="32567E51" w14:textId="77777777" w:rsidR="007B3D0F" w:rsidRDefault="00954246" w:rsidP="00BC5DC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2B065CD7" w14:textId="77777777" w:rsidR="00607AA2" w:rsidRDefault="00607AA2" w:rsidP="00BC5DC8">
            <w:pPr>
              <w:jc w:val="both"/>
            </w:pPr>
          </w:p>
          <w:p w14:paraId="496AD9CD" w14:textId="1B0ACC4D" w:rsidR="00607AA2" w:rsidRDefault="00954246" w:rsidP="00BC5DC8">
            <w:pPr>
              <w:jc w:val="both"/>
            </w:pPr>
            <w:r>
              <w:t xml:space="preserve">While C.S.H.B. 3037 may differ from the </w:t>
            </w:r>
            <w:r>
              <w:t>original in minor or nonsubstantive ways, the following summarizes the substantial differences between the introduced and committee substitute versions of the bill.</w:t>
            </w:r>
          </w:p>
          <w:p w14:paraId="084C5B66" w14:textId="1EFE3CFE" w:rsidR="00607AA2" w:rsidRDefault="00607AA2" w:rsidP="00BC5DC8">
            <w:pPr>
              <w:jc w:val="both"/>
            </w:pPr>
          </w:p>
          <w:p w14:paraId="1A76A807" w14:textId="60DDBD1C" w:rsidR="00607AA2" w:rsidRDefault="00954246" w:rsidP="00BC5DC8">
            <w:pPr>
              <w:jc w:val="both"/>
            </w:pPr>
            <w:r>
              <w:t xml:space="preserve">The </w:t>
            </w:r>
            <w:r w:rsidR="00C92FCC">
              <w:t>original required a referral agency to maintain</w:t>
            </w:r>
            <w:r>
              <w:t xml:space="preserve"> </w:t>
            </w:r>
            <w:r w:rsidR="00D03F3A">
              <w:t xml:space="preserve">liability </w:t>
            </w:r>
            <w:r>
              <w:t>insurance coverage for negli</w:t>
            </w:r>
            <w:r>
              <w:t xml:space="preserve">gent acts or omissions by the referral agency or its employees in </w:t>
            </w:r>
            <w:r w:rsidRPr="00607AA2">
              <w:t>an amount of at least $2 million per occurrence and $5 million in total annual aggregate</w:t>
            </w:r>
            <w:r>
              <w:t>.</w:t>
            </w:r>
            <w:r w:rsidR="00C92FCC">
              <w:t xml:space="preserve"> The substitute retains the requirement to maintain this coverage but does not include specifications regarding coverage amounts.</w:t>
            </w:r>
          </w:p>
          <w:p w14:paraId="7A14E009" w14:textId="2231F5FE" w:rsidR="00607AA2" w:rsidRDefault="00607AA2" w:rsidP="00BC5DC8">
            <w:pPr>
              <w:jc w:val="both"/>
            </w:pPr>
          </w:p>
          <w:p w14:paraId="19EC0DCA" w14:textId="04AD87A5" w:rsidR="00C92FCC" w:rsidRDefault="00954246" w:rsidP="00BC5DC8">
            <w:pPr>
              <w:jc w:val="both"/>
            </w:pPr>
            <w:r>
              <w:t>The substitute revises the duties of a referral agency as follows:</w:t>
            </w:r>
          </w:p>
          <w:p w14:paraId="2D30A5F1" w14:textId="2B7A2804" w:rsidR="00C92FCC" w:rsidRDefault="00954246" w:rsidP="00BC5DC8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omits</w:t>
            </w:r>
            <w:r w:rsidR="00607AA2">
              <w:t xml:space="preserve"> </w:t>
            </w:r>
            <w:r>
              <w:t xml:space="preserve">the </w:t>
            </w:r>
            <w:r w:rsidR="00607AA2">
              <w:t xml:space="preserve">requirements </w:t>
            </w:r>
            <w:r w:rsidR="00BE25FF">
              <w:t xml:space="preserve">from the original </w:t>
            </w:r>
            <w:r w:rsidR="00607AA2">
              <w:t xml:space="preserve">for </w:t>
            </w:r>
            <w:r>
              <w:t xml:space="preserve">a </w:t>
            </w:r>
            <w:r w:rsidR="00607AA2">
              <w:t>referral agency to limit</w:t>
            </w:r>
            <w:r w:rsidR="00F841CA">
              <w:t xml:space="preserve"> </w:t>
            </w:r>
            <w:r w:rsidR="00607AA2">
              <w:t>referrals to a community</w:t>
            </w:r>
            <w:r w:rsidR="00F841CA">
              <w:t xml:space="preserve"> </w:t>
            </w:r>
            <w:r>
              <w:t xml:space="preserve">with which the agency has a written contract </w:t>
            </w:r>
            <w:r w:rsidR="00503A2D">
              <w:t xml:space="preserve">and to </w:t>
            </w:r>
            <w:r w:rsidR="00F841CA">
              <w:t xml:space="preserve">engage an </w:t>
            </w:r>
            <w:r w:rsidR="00F841CA" w:rsidRPr="00F841CA">
              <w:t>independent third party auditor to annually audit the agency's financial statements</w:t>
            </w:r>
            <w:r>
              <w:t>; and</w:t>
            </w:r>
          </w:p>
          <w:p w14:paraId="71B6DED2" w14:textId="2D77AF96" w:rsidR="00607AA2" w:rsidRDefault="00954246" w:rsidP="00BC5DC8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includes a requirement </w:t>
            </w:r>
            <w:r w:rsidR="00FE454C">
              <w:t xml:space="preserve">not in the original </w:t>
            </w:r>
            <w:r>
              <w:t xml:space="preserve">for a referral agency to </w:t>
            </w:r>
            <w:r w:rsidRPr="00F841CA">
              <w:t>disclose to the consumer or the consumer's representative all communities that best meet the consum</w:t>
            </w:r>
            <w:r w:rsidRPr="00F841CA">
              <w:t>er's stated criteria that are located in the closest proximity to the consumer's preferred location</w:t>
            </w:r>
            <w:r>
              <w:t>.</w:t>
            </w:r>
          </w:p>
          <w:p w14:paraId="123F4E30" w14:textId="0F2D9F72" w:rsidR="00F841CA" w:rsidRDefault="00F841CA" w:rsidP="00BC5DC8">
            <w:pPr>
              <w:jc w:val="both"/>
            </w:pPr>
          </w:p>
          <w:p w14:paraId="644A80E0" w14:textId="1DC6CD66" w:rsidR="00F841CA" w:rsidRDefault="00954246" w:rsidP="00BC5DC8">
            <w:pPr>
              <w:jc w:val="both"/>
            </w:pPr>
            <w:r>
              <w:t>The substitute does not include a specification</w:t>
            </w:r>
            <w:r w:rsidR="00BE25FF">
              <w:t xml:space="preserve"> as in the original</w:t>
            </w:r>
            <w:r>
              <w:t xml:space="preserve"> that the telephone number a referral agency </w:t>
            </w:r>
            <w:r w:rsidR="00FB6456">
              <w:t xml:space="preserve">must maintain </w:t>
            </w:r>
            <w:r w:rsidR="00D24AF4">
              <w:t xml:space="preserve">and publish </w:t>
            </w:r>
            <w:r>
              <w:t>is a toll-free nu</w:t>
            </w:r>
            <w:r>
              <w:t>mber.</w:t>
            </w:r>
          </w:p>
          <w:p w14:paraId="24151918" w14:textId="08F992C7" w:rsidR="00F841CA" w:rsidRDefault="00F841CA" w:rsidP="00BC5DC8">
            <w:pPr>
              <w:jc w:val="both"/>
            </w:pPr>
          </w:p>
          <w:p w14:paraId="69809AB5" w14:textId="06FDFF03" w:rsidR="00F841CA" w:rsidRDefault="00954246" w:rsidP="00BC5DC8">
            <w:pPr>
              <w:jc w:val="both"/>
            </w:pPr>
            <w:r>
              <w:t xml:space="preserve">The substitute does not include a prohibition against a </w:t>
            </w:r>
            <w:r w:rsidRPr="000C7087">
              <w:t>person employed by, providing services for, or acting on behalf of a governmental agency, hospital, or other health care facility</w:t>
            </w:r>
            <w:r>
              <w:t xml:space="preserve"> from </w:t>
            </w:r>
            <w:r w:rsidRPr="000C7087">
              <w:t>offer</w:t>
            </w:r>
            <w:r>
              <w:t>ing, providing</w:t>
            </w:r>
            <w:r w:rsidRPr="000C7087">
              <w:t>, or accept</w:t>
            </w:r>
            <w:r>
              <w:t>ing</w:t>
            </w:r>
            <w:r w:rsidRPr="000C7087">
              <w:t xml:space="preserve"> a payment, rebate, refun</w:t>
            </w:r>
            <w:r w:rsidRPr="000C7087">
              <w:t xml:space="preserve">d, commission, preference, or discount as payment, </w:t>
            </w:r>
            <w:r>
              <w:t>compensation</w:t>
            </w:r>
            <w:r w:rsidRPr="000C7087">
              <w:t xml:space="preserve">, or inducement for </w:t>
            </w:r>
            <w:r>
              <w:t xml:space="preserve">referring </w:t>
            </w:r>
            <w:r w:rsidRPr="000C7087">
              <w:t>a consumer to a community</w:t>
            </w:r>
            <w:r w:rsidR="00BE25FF">
              <w:t xml:space="preserve"> as was in the original</w:t>
            </w:r>
            <w:r w:rsidRPr="000C7087">
              <w:t>.</w:t>
            </w:r>
          </w:p>
          <w:p w14:paraId="55C6BA58" w14:textId="7BEA9187" w:rsidR="00607AA2" w:rsidRPr="00607AA2" w:rsidRDefault="00607AA2" w:rsidP="00BC5DC8">
            <w:pPr>
              <w:jc w:val="both"/>
            </w:pPr>
          </w:p>
        </w:tc>
      </w:tr>
    </w:tbl>
    <w:p w14:paraId="51DC4B0E" w14:textId="77777777" w:rsidR="008423E4" w:rsidRPr="00BE0E75" w:rsidRDefault="008423E4" w:rsidP="00BC5DC8">
      <w:pPr>
        <w:jc w:val="both"/>
        <w:rPr>
          <w:rFonts w:ascii="Arial" w:hAnsi="Arial"/>
          <w:sz w:val="16"/>
          <w:szCs w:val="16"/>
        </w:rPr>
      </w:pPr>
    </w:p>
    <w:p w14:paraId="0B3837D9" w14:textId="77777777" w:rsidR="004108C3" w:rsidRPr="008423E4" w:rsidRDefault="004108C3" w:rsidP="00BC5DC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D15A4" w14:textId="77777777" w:rsidR="00000000" w:rsidRDefault="00954246">
      <w:r>
        <w:separator/>
      </w:r>
    </w:p>
  </w:endnote>
  <w:endnote w:type="continuationSeparator" w:id="0">
    <w:p w14:paraId="332DDD89" w14:textId="77777777" w:rsidR="00000000" w:rsidRDefault="0095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018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30787" w14:paraId="58169359" w14:textId="77777777" w:rsidTr="009C1E9A">
      <w:trPr>
        <w:cantSplit/>
      </w:trPr>
      <w:tc>
        <w:tcPr>
          <w:tcW w:w="0" w:type="pct"/>
        </w:tcPr>
        <w:p w14:paraId="4D5812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B9D0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9390A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21B5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3457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0787" w14:paraId="5FEB053F" w14:textId="77777777" w:rsidTr="009C1E9A">
      <w:trPr>
        <w:cantSplit/>
      </w:trPr>
      <w:tc>
        <w:tcPr>
          <w:tcW w:w="0" w:type="pct"/>
        </w:tcPr>
        <w:p w14:paraId="751FA5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10CC79" w14:textId="70BBA42A" w:rsidR="00EC379B" w:rsidRPr="009C1E9A" w:rsidRDefault="0095424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19588</w:t>
          </w:r>
        </w:p>
      </w:tc>
      <w:tc>
        <w:tcPr>
          <w:tcW w:w="2453" w:type="pct"/>
        </w:tcPr>
        <w:p w14:paraId="5181140D" w14:textId="6A44F2DD" w:rsidR="00EC379B" w:rsidRDefault="0095424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02D00">
            <w:t>21.103.945</w:t>
          </w:r>
          <w:r>
            <w:fldChar w:fldCharType="end"/>
          </w:r>
        </w:p>
      </w:tc>
    </w:tr>
    <w:tr w:rsidR="00630787" w14:paraId="67B29371" w14:textId="77777777" w:rsidTr="009C1E9A">
      <w:trPr>
        <w:cantSplit/>
      </w:trPr>
      <w:tc>
        <w:tcPr>
          <w:tcW w:w="0" w:type="pct"/>
        </w:tcPr>
        <w:p w14:paraId="5635298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866872" w14:textId="022237E0" w:rsidR="00EC379B" w:rsidRPr="009C1E9A" w:rsidRDefault="0095424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18584</w:t>
          </w:r>
        </w:p>
      </w:tc>
      <w:tc>
        <w:tcPr>
          <w:tcW w:w="2453" w:type="pct"/>
        </w:tcPr>
        <w:p w14:paraId="4F61BFC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07BB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0787" w14:paraId="58648D6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CF4F0F" w14:textId="2AA4AC8E" w:rsidR="00EC379B" w:rsidRDefault="0095424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744F0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14:paraId="5418D9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919F6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829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A4D2" w14:textId="77777777" w:rsidR="00000000" w:rsidRDefault="00954246">
      <w:r>
        <w:separator/>
      </w:r>
    </w:p>
  </w:footnote>
  <w:footnote w:type="continuationSeparator" w:id="0">
    <w:p w14:paraId="6ADA2D99" w14:textId="77777777" w:rsidR="00000000" w:rsidRDefault="0095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8EBC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F272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B742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E4CF1"/>
    <w:multiLevelType w:val="hybridMultilevel"/>
    <w:tmpl w:val="F782C114"/>
    <w:lvl w:ilvl="0" w:tplc="4EFC9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A0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C0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28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C7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A6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C7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83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413F1"/>
    <w:multiLevelType w:val="hybridMultilevel"/>
    <w:tmpl w:val="7D8A9EAA"/>
    <w:lvl w:ilvl="0" w:tplc="F0162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62D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80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4A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68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61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2E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2F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45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55F3C"/>
    <w:multiLevelType w:val="hybridMultilevel"/>
    <w:tmpl w:val="7B9C6E74"/>
    <w:lvl w:ilvl="0" w:tplc="5874E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87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E4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2C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C6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A0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68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04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E8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918F9"/>
    <w:multiLevelType w:val="hybridMultilevel"/>
    <w:tmpl w:val="692889B6"/>
    <w:lvl w:ilvl="0" w:tplc="A1B29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0A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08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A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47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86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80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2E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C1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A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A7"/>
    <w:rsid w:val="000667BA"/>
    <w:rsid w:val="000676A7"/>
    <w:rsid w:val="00073914"/>
    <w:rsid w:val="00074236"/>
    <w:rsid w:val="000746BD"/>
    <w:rsid w:val="00076D7D"/>
    <w:rsid w:val="00080D95"/>
    <w:rsid w:val="00086B23"/>
    <w:rsid w:val="00090E6B"/>
    <w:rsid w:val="00091B2C"/>
    <w:rsid w:val="00092ABC"/>
    <w:rsid w:val="00095371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087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694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4F0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704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D0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A84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364"/>
    <w:rsid w:val="00284E70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FFD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101"/>
    <w:rsid w:val="00364315"/>
    <w:rsid w:val="003643E2"/>
    <w:rsid w:val="0036653F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03A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376F6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61FD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A2D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7B69"/>
    <w:rsid w:val="005C1496"/>
    <w:rsid w:val="005C17C5"/>
    <w:rsid w:val="005C2B21"/>
    <w:rsid w:val="005C2C00"/>
    <w:rsid w:val="005C4C6F"/>
    <w:rsid w:val="005C5127"/>
    <w:rsid w:val="005C67BD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4DA8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AA2"/>
    <w:rsid w:val="00607E64"/>
    <w:rsid w:val="006106E9"/>
    <w:rsid w:val="0061159E"/>
    <w:rsid w:val="006134DA"/>
    <w:rsid w:val="00614633"/>
    <w:rsid w:val="00614BC8"/>
    <w:rsid w:val="006151FB"/>
    <w:rsid w:val="00617411"/>
    <w:rsid w:val="006249CB"/>
    <w:rsid w:val="006272DD"/>
    <w:rsid w:val="00630787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898"/>
    <w:rsid w:val="00645750"/>
    <w:rsid w:val="00646C8C"/>
    <w:rsid w:val="00650692"/>
    <w:rsid w:val="006508D3"/>
    <w:rsid w:val="00650AFA"/>
    <w:rsid w:val="00662B77"/>
    <w:rsid w:val="00662D0E"/>
    <w:rsid w:val="00663265"/>
    <w:rsid w:val="0066345F"/>
    <w:rsid w:val="006640B4"/>
    <w:rsid w:val="0066485B"/>
    <w:rsid w:val="006671EE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A24"/>
    <w:rsid w:val="006E0CAC"/>
    <w:rsid w:val="006E1CFB"/>
    <w:rsid w:val="006E1F94"/>
    <w:rsid w:val="006E26C1"/>
    <w:rsid w:val="006E30A8"/>
    <w:rsid w:val="006E45B0"/>
    <w:rsid w:val="006E5692"/>
    <w:rsid w:val="006E7FC7"/>
    <w:rsid w:val="006F365D"/>
    <w:rsid w:val="006F4BB0"/>
    <w:rsid w:val="006F5B8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64"/>
    <w:rsid w:val="00722EC5"/>
    <w:rsid w:val="00723326"/>
    <w:rsid w:val="00724252"/>
    <w:rsid w:val="00725484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D0F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E51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9F2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7241"/>
    <w:rsid w:val="008F09DF"/>
    <w:rsid w:val="008F1ED7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5C45"/>
    <w:rsid w:val="00936A62"/>
    <w:rsid w:val="009375BB"/>
    <w:rsid w:val="009418E9"/>
    <w:rsid w:val="00944380"/>
    <w:rsid w:val="00946044"/>
    <w:rsid w:val="009465AB"/>
    <w:rsid w:val="00946DEE"/>
    <w:rsid w:val="00953499"/>
    <w:rsid w:val="00954246"/>
    <w:rsid w:val="00954A16"/>
    <w:rsid w:val="0095696D"/>
    <w:rsid w:val="0096274C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9A9"/>
    <w:rsid w:val="009A5EA5"/>
    <w:rsid w:val="009B00C2"/>
    <w:rsid w:val="009B26AB"/>
    <w:rsid w:val="009B3476"/>
    <w:rsid w:val="009B39BC"/>
    <w:rsid w:val="009B5069"/>
    <w:rsid w:val="009B6001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378C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425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E7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5DC8"/>
    <w:rsid w:val="00BC6462"/>
    <w:rsid w:val="00BD0A32"/>
    <w:rsid w:val="00BD4E55"/>
    <w:rsid w:val="00BD513B"/>
    <w:rsid w:val="00BD5E52"/>
    <w:rsid w:val="00BE00CD"/>
    <w:rsid w:val="00BE0E75"/>
    <w:rsid w:val="00BE1789"/>
    <w:rsid w:val="00BE25FF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751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9A9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BFD"/>
    <w:rsid w:val="00C9047F"/>
    <w:rsid w:val="00C91F65"/>
    <w:rsid w:val="00C92310"/>
    <w:rsid w:val="00C92FCC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870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F3A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AF4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5F7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17F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550C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64A"/>
    <w:rsid w:val="00EF1738"/>
    <w:rsid w:val="00EF2BAF"/>
    <w:rsid w:val="00EF3B8F"/>
    <w:rsid w:val="00EF543E"/>
    <w:rsid w:val="00EF555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0E6E"/>
    <w:rsid w:val="00F52402"/>
    <w:rsid w:val="00F5605D"/>
    <w:rsid w:val="00F6514B"/>
    <w:rsid w:val="00F6587F"/>
    <w:rsid w:val="00F663F6"/>
    <w:rsid w:val="00F67981"/>
    <w:rsid w:val="00F706CA"/>
    <w:rsid w:val="00F70F8D"/>
    <w:rsid w:val="00F71C5A"/>
    <w:rsid w:val="00F733A4"/>
    <w:rsid w:val="00F7758F"/>
    <w:rsid w:val="00F81640"/>
    <w:rsid w:val="00F82811"/>
    <w:rsid w:val="00F84153"/>
    <w:rsid w:val="00F841CA"/>
    <w:rsid w:val="00F85661"/>
    <w:rsid w:val="00F90FA2"/>
    <w:rsid w:val="00F96602"/>
    <w:rsid w:val="00F9735A"/>
    <w:rsid w:val="00FA32FC"/>
    <w:rsid w:val="00FA59FD"/>
    <w:rsid w:val="00FA5D8C"/>
    <w:rsid w:val="00FA6403"/>
    <w:rsid w:val="00FB16CD"/>
    <w:rsid w:val="00FB55A9"/>
    <w:rsid w:val="00FB586E"/>
    <w:rsid w:val="00FB6456"/>
    <w:rsid w:val="00FB73AE"/>
    <w:rsid w:val="00FC5388"/>
    <w:rsid w:val="00FC726C"/>
    <w:rsid w:val="00FD1B4B"/>
    <w:rsid w:val="00FD1B94"/>
    <w:rsid w:val="00FE19C5"/>
    <w:rsid w:val="00FE4286"/>
    <w:rsid w:val="00FE454C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AB6F79-E1F5-4244-967E-08B4FEAC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823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2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23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2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2364"/>
    <w:rPr>
      <w:b/>
      <w:bCs/>
    </w:rPr>
  </w:style>
  <w:style w:type="character" w:styleId="Hyperlink">
    <w:name w:val="Hyperlink"/>
    <w:basedOn w:val="DefaultParagraphFont"/>
    <w:unhideWhenUsed/>
    <w:rsid w:val="00646C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67A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5278</Characters>
  <Application>Microsoft Office Word</Application>
  <DocSecurity>4</DocSecurity>
  <Lines>119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HB03037 (Committee Report (Substituted))</vt:lpstr>
    </vt:vector>
  </TitlesOfParts>
  <Company>State of Texas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19588</dc:subject>
  <dc:creator>State of Texas</dc:creator>
  <dc:description>HB 3037 by Raymond-(H)Human Services (Substitute Document Number: 87R 18584)</dc:description>
  <cp:lastModifiedBy>Lauren Bustamente</cp:lastModifiedBy>
  <cp:revision>2</cp:revision>
  <cp:lastPrinted>2003-11-26T17:21:00Z</cp:lastPrinted>
  <dcterms:created xsi:type="dcterms:W3CDTF">2021-04-15T23:19:00Z</dcterms:created>
  <dcterms:modified xsi:type="dcterms:W3CDTF">2021-04-15T23:19:00Z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21.103.945</vt:lpwstr>
  </property>
</Properties>
</file>