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901AB" w14:paraId="57714FD3" w14:textId="77777777" w:rsidTr="00345119">
        <w:tc>
          <w:tcPr>
            <w:tcW w:w="9576" w:type="dxa"/>
            <w:noWrap/>
          </w:tcPr>
          <w:p w14:paraId="656E66F9" w14:textId="77777777" w:rsidR="008423E4" w:rsidRPr="0022177D" w:rsidRDefault="00AA5FDB" w:rsidP="0030222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11024AD" w14:textId="77777777" w:rsidR="008423E4" w:rsidRPr="0022177D" w:rsidRDefault="008423E4" w:rsidP="00302220">
      <w:pPr>
        <w:jc w:val="center"/>
      </w:pPr>
    </w:p>
    <w:p w14:paraId="535BBE37" w14:textId="77777777" w:rsidR="008423E4" w:rsidRPr="00B31F0E" w:rsidRDefault="008423E4" w:rsidP="00302220"/>
    <w:p w14:paraId="019D14C2" w14:textId="77777777" w:rsidR="008423E4" w:rsidRPr="00742794" w:rsidRDefault="008423E4" w:rsidP="0030222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901AB" w14:paraId="539AF3FD" w14:textId="77777777" w:rsidTr="00345119">
        <w:tc>
          <w:tcPr>
            <w:tcW w:w="9576" w:type="dxa"/>
          </w:tcPr>
          <w:p w14:paraId="0232029D" w14:textId="4C14AAA4" w:rsidR="008423E4" w:rsidRPr="00861995" w:rsidRDefault="00AA5FDB" w:rsidP="00302220">
            <w:pPr>
              <w:jc w:val="right"/>
            </w:pPr>
            <w:r>
              <w:t>H.B. 3045</w:t>
            </w:r>
          </w:p>
        </w:tc>
      </w:tr>
      <w:tr w:rsidR="007901AB" w14:paraId="5B8C7EAD" w14:textId="77777777" w:rsidTr="00345119">
        <w:tc>
          <w:tcPr>
            <w:tcW w:w="9576" w:type="dxa"/>
          </w:tcPr>
          <w:p w14:paraId="7A8F03AA" w14:textId="1690FBF9" w:rsidR="008423E4" w:rsidRPr="00861995" w:rsidRDefault="00AA5FDB" w:rsidP="00302220">
            <w:pPr>
              <w:jc w:val="right"/>
            </w:pPr>
            <w:r>
              <w:t xml:space="preserve">By: </w:t>
            </w:r>
            <w:r w:rsidR="00DA5E17">
              <w:t>Hull</w:t>
            </w:r>
          </w:p>
        </w:tc>
      </w:tr>
      <w:tr w:rsidR="007901AB" w14:paraId="58A7EE92" w14:textId="77777777" w:rsidTr="00345119">
        <w:tc>
          <w:tcPr>
            <w:tcW w:w="9576" w:type="dxa"/>
          </w:tcPr>
          <w:p w14:paraId="37E49EAC" w14:textId="540ACA03" w:rsidR="008423E4" w:rsidRPr="00861995" w:rsidRDefault="00AA5FDB" w:rsidP="00302220">
            <w:pPr>
              <w:jc w:val="right"/>
            </w:pPr>
            <w:r>
              <w:t>Insurance</w:t>
            </w:r>
          </w:p>
        </w:tc>
      </w:tr>
      <w:tr w:rsidR="007901AB" w14:paraId="4828ABB4" w14:textId="77777777" w:rsidTr="00345119">
        <w:tc>
          <w:tcPr>
            <w:tcW w:w="9576" w:type="dxa"/>
          </w:tcPr>
          <w:p w14:paraId="3D7838D2" w14:textId="2AAB96BE" w:rsidR="008423E4" w:rsidRDefault="00AA5FDB" w:rsidP="00302220">
            <w:pPr>
              <w:jc w:val="right"/>
            </w:pPr>
            <w:r>
              <w:t>Committee Report (Unamended)</w:t>
            </w:r>
          </w:p>
        </w:tc>
      </w:tr>
    </w:tbl>
    <w:p w14:paraId="5B4FE2F1" w14:textId="77777777" w:rsidR="008423E4" w:rsidRDefault="008423E4" w:rsidP="00302220">
      <w:pPr>
        <w:tabs>
          <w:tab w:val="right" w:pos="9360"/>
        </w:tabs>
      </w:pPr>
    </w:p>
    <w:p w14:paraId="22C22D7D" w14:textId="77777777" w:rsidR="008423E4" w:rsidRDefault="008423E4" w:rsidP="00302220"/>
    <w:p w14:paraId="0E57EA82" w14:textId="77777777" w:rsidR="008423E4" w:rsidRDefault="008423E4" w:rsidP="0030222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901AB" w14:paraId="434734AD" w14:textId="77777777" w:rsidTr="00345119">
        <w:tc>
          <w:tcPr>
            <w:tcW w:w="9576" w:type="dxa"/>
          </w:tcPr>
          <w:p w14:paraId="5DCC2563" w14:textId="77777777" w:rsidR="008423E4" w:rsidRPr="00A8133F" w:rsidRDefault="00AA5FDB" w:rsidP="0030222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BC32E96" w14:textId="77777777" w:rsidR="008423E4" w:rsidRDefault="008423E4" w:rsidP="00302220"/>
          <w:p w14:paraId="09DF38B7" w14:textId="5618C596" w:rsidR="008423E4" w:rsidRDefault="00AA5FDB" w:rsidP="00302220">
            <w:pPr>
              <w:pStyle w:val="Header"/>
              <w:jc w:val="both"/>
            </w:pPr>
            <w:r>
              <w:t>The most recent b</w:t>
            </w:r>
            <w:r w:rsidR="0065421F">
              <w:t xml:space="preserve">iennial </w:t>
            </w:r>
            <w:r>
              <w:t>r</w:t>
            </w:r>
            <w:r w:rsidR="0065421F">
              <w:t xml:space="preserve">eport </w:t>
            </w:r>
            <w:r w:rsidR="00FD4D9A">
              <w:t>of</w:t>
            </w:r>
            <w:r>
              <w:t xml:space="preserve"> the Texas Department of Insurance (TDI) </w:t>
            </w:r>
            <w:r w:rsidR="00FD4D9A">
              <w:t xml:space="preserve">included </w:t>
            </w:r>
            <w:r w:rsidR="0065421F">
              <w:t>recommendations to remove outdated statute</w:t>
            </w:r>
            <w:r>
              <w:t>s</w:t>
            </w:r>
            <w:r w:rsidR="0065421F">
              <w:t xml:space="preserve"> and provide regulatory relief to plans under </w:t>
            </w:r>
            <w:r>
              <w:t xml:space="preserve">TDI </w:t>
            </w:r>
            <w:r w:rsidR="0065421F">
              <w:t xml:space="preserve">jurisdiction. One of </w:t>
            </w:r>
            <w:r>
              <w:t xml:space="preserve">these </w:t>
            </w:r>
            <w:r w:rsidR="0065421F">
              <w:t xml:space="preserve">recommendations is to remove the requirement for health maintenance organizations </w:t>
            </w:r>
            <w:r>
              <w:t>(HMO</w:t>
            </w:r>
            <w:r w:rsidR="00FD4D9A">
              <w:t>s</w:t>
            </w:r>
            <w:r>
              <w:t xml:space="preserve">) </w:t>
            </w:r>
            <w:r w:rsidR="0065421F">
              <w:t xml:space="preserve">to submit fidelity bonds to the </w:t>
            </w:r>
            <w:r>
              <w:t>c</w:t>
            </w:r>
            <w:r w:rsidR="0065421F">
              <w:t xml:space="preserve">omptroller of </w:t>
            </w:r>
            <w:r>
              <w:t>p</w:t>
            </w:r>
            <w:r w:rsidR="0065421F">
              <w:t xml:space="preserve">ublic </w:t>
            </w:r>
            <w:r>
              <w:t>accounts</w:t>
            </w:r>
            <w:r w:rsidR="0065421F">
              <w:t xml:space="preserve">. Currently, </w:t>
            </w:r>
            <w:r w:rsidR="00B5696A">
              <w:t>HMOs</w:t>
            </w:r>
            <w:r w:rsidR="0065421F">
              <w:t xml:space="preserve"> are required to submit these bonds on their officers and employees </w:t>
            </w:r>
            <w:r w:rsidR="00B5696A">
              <w:t>to</w:t>
            </w:r>
            <w:r w:rsidR="0065421F">
              <w:t xml:space="preserve"> the </w:t>
            </w:r>
            <w:r>
              <w:t xml:space="preserve">comptroller </w:t>
            </w:r>
            <w:r w:rsidR="0065421F">
              <w:t xml:space="preserve">to protect their members in the event of insolvency. </w:t>
            </w:r>
            <w:r>
              <w:t>However, legislation was enacted l</w:t>
            </w:r>
            <w:r w:rsidR="0065421F">
              <w:t>ast session</w:t>
            </w:r>
            <w:r>
              <w:t xml:space="preserve"> moving</w:t>
            </w:r>
            <w:r w:rsidR="0065421F">
              <w:t xml:space="preserve"> HMOs </w:t>
            </w:r>
            <w:r>
              <w:t xml:space="preserve">into </w:t>
            </w:r>
            <w:r w:rsidR="0065421F">
              <w:t>the Texas Life &amp; Health</w:t>
            </w:r>
            <w:r w:rsidR="00FD4D9A">
              <w:t xml:space="preserve"> Insurance</w:t>
            </w:r>
            <w:r w:rsidR="0065421F">
              <w:t xml:space="preserve"> Guaranty Association, a nonprofit </w:t>
            </w:r>
            <w:r w:rsidR="00FD4D9A">
              <w:t xml:space="preserve">entity </w:t>
            </w:r>
            <w:r w:rsidR="0065421F">
              <w:t xml:space="preserve">created by the legislature in 1973 as a last resort to protect policyholders from insolvency. Moving HMOs into the </w:t>
            </w:r>
            <w:r w:rsidR="00B5696A">
              <w:t xml:space="preserve">association </w:t>
            </w:r>
            <w:r w:rsidR="0065421F">
              <w:t xml:space="preserve">has since rendered the requirement to deposit bonds with the comptroller duplicative and unnecessary. </w:t>
            </w:r>
            <w:r w:rsidR="00B5696A">
              <w:t>H.B. 3045 seeks to address this issue by</w:t>
            </w:r>
            <w:r w:rsidR="0065421F">
              <w:t xml:space="preserve"> remov</w:t>
            </w:r>
            <w:r w:rsidR="00655C3E">
              <w:t>ing</w:t>
            </w:r>
            <w:r w:rsidR="0065421F">
              <w:t xml:space="preserve"> </w:t>
            </w:r>
            <w:r w:rsidR="00FD4D9A">
              <w:t xml:space="preserve">statutory </w:t>
            </w:r>
            <w:r w:rsidR="0065421F">
              <w:t>requirement</w:t>
            </w:r>
            <w:r w:rsidR="00FD4D9A">
              <w:t>s</w:t>
            </w:r>
            <w:r w:rsidR="0065421F">
              <w:t xml:space="preserve"> for </w:t>
            </w:r>
            <w:r w:rsidR="00B5696A">
              <w:t>HMO</w:t>
            </w:r>
            <w:r w:rsidR="0065421F">
              <w:t xml:space="preserve">s to deposit </w:t>
            </w:r>
            <w:r w:rsidR="00B5696A">
              <w:t xml:space="preserve">certain </w:t>
            </w:r>
            <w:r w:rsidR="0065421F">
              <w:t xml:space="preserve">bonds with the </w:t>
            </w:r>
            <w:r w:rsidR="00B5696A">
              <w:t>c</w:t>
            </w:r>
            <w:r w:rsidR="0065421F">
              <w:t>omptroller.</w:t>
            </w:r>
          </w:p>
          <w:p w14:paraId="538F80A6" w14:textId="77777777" w:rsidR="008423E4" w:rsidRPr="00E26B13" w:rsidRDefault="008423E4" w:rsidP="00302220">
            <w:pPr>
              <w:rPr>
                <w:b/>
              </w:rPr>
            </w:pPr>
          </w:p>
        </w:tc>
      </w:tr>
      <w:tr w:rsidR="007901AB" w14:paraId="39FCE117" w14:textId="77777777" w:rsidTr="00345119">
        <w:tc>
          <w:tcPr>
            <w:tcW w:w="9576" w:type="dxa"/>
          </w:tcPr>
          <w:p w14:paraId="1DBC988E" w14:textId="77777777" w:rsidR="0017725B" w:rsidRDefault="00AA5FDB" w:rsidP="003022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73552E7" w14:textId="77777777" w:rsidR="0017725B" w:rsidRDefault="0017725B" w:rsidP="00302220">
            <w:pPr>
              <w:rPr>
                <w:b/>
                <w:u w:val="single"/>
              </w:rPr>
            </w:pPr>
          </w:p>
          <w:p w14:paraId="03BA6786" w14:textId="77777777" w:rsidR="00F92C43" w:rsidRPr="00F92C43" w:rsidRDefault="00AA5FDB" w:rsidP="00302220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14:paraId="21223FF8" w14:textId="77777777" w:rsidR="0017725B" w:rsidRPr="0017725B" w:rsidRDefault="0017725B" w:rsidP="00302220">
            <w:pPr>
              <w:rPr>
                <w:b/>
                <w:u w:val="single"/>
              </w:rPr>
            </w:pPr>
          </w:p>
        </w:tc>
      </w:tr>
      <w:tr w:rsidR="007901AB" w14:paraId="5C64A14E" w14:textId="77777777" w:rsidTr="00345119">
        <w:tc>
          <w:tcPr>
            <w:tcW w:w="9576" w:type="dxa"/>
          </w:tcPr>
          <w:p w14:paraId="3553FA96" w14:textId="77777777" w:rsidR="008423E4" w:rsidRPr="00A8133F" w:rsidRDefault="00AA5FDB" w:rsidP="0030222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1C10E0D" w14:textId="77777777" w:rsidR="008423E4" w:rsidRDefault="008423E4" w:rsidP="00302220"/>
          <w:p w14:paraId="16450675" w14:textId="77777777" w:rsidR="00F92C43" w:rsidRDefault="00AA5FDB" w:rsidP="003022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7115622F" w14:textId="77777777" w:rsidR="008423E4" w:rsidRPr="00E21FDC" w:rsidRDefault="008423E4" w:rsidP="00302220">
            <w:pPr>
              <w:rPr>
                <w:b/>
              </w:rPr>
            </w:pPr>
          </w:p>
        </w:tc>
      </w:tr>
      <w:tr w:rsidR="007901AB" w14:paraId="7DEBE83D" w14:textId="77777777" w:rsidTr="00345119">
        <w:tc>
          <w:tcPr>
            <w:tcW w:w="9576" w:type="dxa"/>
          </w:tcPr>
          <w:p w14:paraId="1B8D0D79" w14:textId="77777777" w:rsidR="008423E4" w:rsidRPr="00A8133F" w:rsidRDefault="00AA5FDB" w:rsidP="0030222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D4A9029" w14:textId="77777777" w:rsidR="008423E4" w:rsidRDefault="008423E4" w:rsidP="00302220"/>
          <w:p w14:paraId="24809FDD" w14:textId="581C4DB2" w:rsidR="003234C0" w:rsidRDefault="00AA5FDB" w:rsidP="003022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3045 amends the Insurance Code to do the following with respect to </w:t>
            </w:r>
            <w:r w:rsidR="001A4B6A">
              <w:t xml:space="preserve">domestic </w:t>
            </w:r>
            <w:r w:rsidR="004D02D6">
              <w:t xml:space="preserve">life, health, or accident </w:t>
            </w:r>
            <w:r w:rsidR="001A4B6A">
              <w:t>insurance compan</w:t>
            </w:r>
            <w:r>
              <w:t>ies:</w:t>
            </w:r>
          </w:p>
          <w:p w14:paraId="1AB4B3F7" w14:textId="05066800" w:rsidR="003234C0" w:rsidRDefault="00AA5FDB" w:rsidP="003022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remove the requirement for a company </w:t>
            </w:r>
            <w:r w:rsidR="004D02D6">
              <w:t>seeking to withdraw securities deposited with the comptroller of public accounts or a portion of the deposit to first</w:t>
            </w:r>
            <w:r w:rsidR="001A4B6A">
              <w:t xml:space="preserve"> substitut</w:t>
            </w:r>
            <w:r w:rsidR="004D02D6">
              <w:t>e</w:t>
            </w:r>
            <w:r w:rsidR="001A4B6A">
              <w:t xml:space="preserve"> a deposit of securities of a like class and of an amount and value equal to the withdrawn deposit or portion of deposit</w:t>
            </w:r>
            <w:r>
              <w:t>; and</w:t>
            </w:r>
          </w:p>
          <w:p w14:paraId="6EB678A7" w14:textId="61D07268" w:rsidR="003234C0" w:rsidRDefault="00AA5FDB" w:rsidP="003022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repeal</w:t>
            </w:r>
            <w:r w:rsidR="0015509B">
              <w:t xml:space="preserve"> the</w:t>
            </w:r>
            <w:r>
              <w:t xml:space="preserve"> following:</w:t>
            </w:r>
          </w:p>
          <w:p w14:paraId="3264F517" w14:textId="587AF84C" w:rsidR="003234C0" w:rsidRDefault="00AA5FDB" w:rsidP="00302220">
            <w:pPr>
              <w:pStyle w:val="Header"/>
              <w:numPr>
                <w:ilvl w:val="1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15509B">
              <w:t xml:space="preserve">requirement for </w:t>
            </w:r>
            <w:r w:rsidR="00E95C65">
              <w:t xml:space="preserve">a </w:t>
            </w:r>
            <w:r>
              <w:t>company</w:t>
            </w:r>
            <w:r w:rsidR="0015509B">
              <w:t xml:space="preserve"> to maintain a deposit of securities as long as </w:t>
            </w:r>
            <w:r w:rsidR="00E95C65">
              <w:t>it</w:t>
            </w:r>
            <w:r w:rsidR="0015509B">
              <w:t xml:space="preserve"> has outstanding any liability to a policyholder in Texas</w:t>
            </w:r>
            <w:r>
              <w:t>; and</w:t>
            </w:r>
          </w:p>
          <w:p w14:paraId="00892707" w14:textId="0652F0DB" w:rsidR="009C36CD" w:rsidRDefault="00AA5FDB" w:rsidP="00302220">
            <w:pPr>
              <w:pStyle w:val="Header"/>
              <w:numPr>
                <w:ilvl w:val="1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provisions </w:t>
            </w:r>
            <w:r w:rsidR="00E95C65">
              <w:t xml:space="preserve">relating to withdrawal of a deposit </w:t>
            </w:r>
            <w:r>
              <w:t xml:space="preserve">after a </w:t>
            </w:r>
            <w:r>
              <w:t>merger, consolidation, or total reinsurance</w:t>
            </w:r>
            <w:r w:rsidR="00E95C65">
              <w:t xml:space="preserve"> by two or more companies</w:t>
            </w:r>
            <w:r>
              <w:t>.</w:t>
            </w:r>
          </w:p>
          <w:p w14:paraId="28AAD883" w14:textId="77777777" w:rsidR="00E4516C" w:rsidRDefault="00E4516C" w:rsidP="003022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3FD9DF0" w14:textId="299874A5" w:rsidR="00CE5E53" w:rsidRDefault="00AA5FDB" w:rsidP="003022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3045 repeals the following with respect to a health maintenance organization (HMO):</w:t>
            </w:r>
          </w:p>
          <w:p w14:paraId="33A0C13A" w14:textId="7E7319A2" w:rsidR="00CE5E53" w:rsidRDefault="00AA5FDB" w:rsidP="0030222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provisions requiring an HMO to maintain in force in its own name a fidelity bond on its officers</w:t>
            </w:r>
            <w:r>
              <w:t xml:space="preserve"> and employees</w:t>
            </w:r>
            <w:r w:rsidR="00DA4BF3">
              <w:t xml:space="preserve"> or to make instead a</w:t>
            </w:r>
            <w:r w:rsidR="00BA6B23">
              <w:t xml:space="preserve"> cash</w:t>
            </w:r>
            <w:r w:rsidR="00DA4BF3">
              <w:t xml:space="preserve"> deposit with the comptroller</w:t>
            </w:r>
            <w:r>
              <w:t>;</w:t>
            </w:r>
          </w:p>
          <w:p w14:paraId="6192249E" w14:textId="33F6D72A" w:rsidR="00CE5E53" w:rsidRDefault="00AA5FDB" w:rsidP="00302220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provisions requiring a</w:t>
            </w:r>
            <w:r w:rsidRPr="0055551C">
              <w:t xml:space="preserve"> management contractor </w:t>
            </w:r>
            <w:r>
              <w:t xml:space="preserve">seeking to contract with an HMO to </w:t>
            </w:r>
            <w:r w:rsidRPr="0055551C">
              <w:t>ha</w:t>
            </w:r>
            <w:r>
              <w:t>ve</w:t>
            </w:r>
            <w:r w:rsidRPr="0055551C">
              <w:t xml:space="preserve"> in force in its own name a fidelity bond on its officers and employees</w:t>
            </w:r>
            <w:r w:rsidR="009E7EAB">
              <w:t xml:space="preserve"> or to make</w:t>
            </w:r>
            <w:r w:rsidR="00DA4BF3">
              <w:t xml:space="preserve"> instead</w:t>
            </w:r>
            <w:r w:rsidR="009E7EAB">
              <w:t xml:space="preserve"> a</w:t>
            </w:r>
            <w:r w:rsidR="005C4865">
              <w:t xml:space="preserve"> deposit of</w:t>
            </w:r>
            <w:r w:rsidR="009E7EAB">
              <w:t xml:space="preserve"> </w:t>
            </w:r>
            <w:r w:rsidR="00A12DC6">
              <w:t xml:space="preserve">cash </w:t>
            </w:r>
            <w:r w:rsidR="009E7EAB">
              <w:t>or securities with the comptroller</w:t>
            </w:r>
            <w:r>
              <w:t>; and</w:t>
            </w:r>
          </w:p>
          <w:p w14:paraId="58D37AE8" w14:textId="094B93D4" w:rsidR="00CE5E53" w:rsidRDefault="00AA5FDB" w:rsidP="00302220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provisions requiring an HMO to make an initial deposit of cash, securities, or other guarantees with the comptroller and to make subsequent deposits under certain circumstances.</w:t>
            </w:r>
          </w:p>
          <w:p w14:paraId="31FA78F7" w14:textId="5396C019" w:rsidR="00A36BCD" w:rsidRDefault="00AA5FDB" w:rsidP="003022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requires the comptrol</w:t>
            </w:r>
            <w:r>
              <w:t xml:space="preserve">ler, on the bill's effective date, to release, transfer, and deliver to the owner any deposits made by an HMO under these repealed provisions. </w:t>
            </w:r>
            <w:r w:rsidR="004A0B7F">
              <w:t xml:space="preserve">The bill </w:t>
            </w:r>
            <w:r w:rsidR="00E4516C">
              <w:t>authorizes a</w:t>
            </w:r>
            <w:r w:rsidR="004A0B7F">
              <w:t>n</w:t>
            </w:r>
            <w:r w:rsidR="00E4516C">
              <w:t xml:space="preserve"> </w:t>
            </w:r>
            <w:r w:rsidR="004D02D6">
              <w:t>HMO</w:t>
            </w:r>
            <w:r w:rsidR="004A0B7F">
              <w:t xml:space="preserve"> instead</w:t>
            </w:r>
            <w:r w:rsidR="00E4516C">
              <w:t>, at its option and after receiving</w:t>
            </w:r>
            <w:r w:rsidR="00895BF5">
              <w:t xml:space="preserve"> approval of the</w:t>
            </w:r>
            <w:r w:rsidR="00E4516C">
              <w:t xml:space="preserve"> commissioner </w:t>
            </w:r>
            <w:r w:rsidR="00895BF5">
              <w:t>of insurance</w:t>
            </w:r>
            <w:r w:rsidR="00E4516C">
              <w:t>, to deposit with the comptroller cash, securities, or any combination of cash, securities, and other guarantees</w:t>
            </w:r>
            <w:r w:rsidR="004A0B7F">
              <w:t xml:space="preserve"> and to</w:t>
            </w:r>
            <w:r w:rsidR="004D02D6">
              <w:t xml:space="preserve"> </w:t>
            </w:r>
            <w:r w:rsidR="00E4516C">
              <w:t>withdraw a deposit made to the comptroller or any portion of the deposit.</w:t>
            </w:r>
          </w:p>
          <w:p w14:paraId="70FF6BAD" w14:textId="0BAFB245" w:rsidR="00E4516C" w:rsidRDefault="00E4516C" w:rsidP="003022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E56A58E" w14:textId="19863842" w:rsidR="00D9254A" w:rsidRDefault="00AA5FDB" w:rsidP="003022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3045 amends the Health and Safety Code to make a </w:t>
            </w:r>
            <w:r>
              <w:t>conforming change.</w:t>
            </w:r>
          </w:p>
          <w:p w14:paraId="7AE69B62" w14:textId="77777777" w:rsidR="00D9254A" w:rsidRDefault="00D9254A" w:rsidP="003022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1D2C4C9" w14:textId="77777777" w:rsidR="00E4516C" w:rsidRDefault="00AA5FDB" w:rsidP="003022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A36BCD">
              <w:t>3045 repeals the following provisions of the Insurance Code:</w:t>
            </w:r>
          </w:p>
          <w:p w14:paraId="5DD40D16" w14:textId="77777777" w:rsidR="00A36BCD" w:rsidRDefault="00AA5FDB" w:rsidP="0030222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841.355;</w:t>
            </w:r>
          </w:p>
          <w:p w14:paraId="2B06FC6E" w14:textId="77777777" w:rsidR="00A36BCD" w:rsidRDefault="00AA5FDB" w:rsidP="0030222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841.357;</w:t>
            </w:r>
          </w:p>
          <w:p w14:paraId="460ECFF8" w14:textId="77777777" w:rsidR="00A36BCD" w:rsidRDefault="00AA5FDB" w:rsidP="0030222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Sections 843.105(d), (e), (f), and (g);</w:t>
            </w:r>
          </w:p>
          <w:p w14:paraId="414D25ED" w14:textId="77777777" w:rsidR="00A36BCD" w:rsidRDefault="00AA5FDB" w:rsidP="0030222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843.402; and</w:t>
            </w:r>
          </w:p>
          <w:p w14:paraId="47B4BDDA" w14:textId="77777777" w:rsidR="00A36BCD" w:rsidRPr="009C36CD" w:rsidRDefault="00AA5FDB" w:rsidP="0030222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843.405.</w:t>
            </w:r>
            <w:r w:rsidR="005A6D3F">
              <w:t xml:space="preserve">     </w:t>
            </w:r>
          </w:p>
          <w:p w14:paraId="7BE43C58" w14:textId="77777777" w:rsidR="008423E4" w:rsidRPr="00835628" w:rsidRDefault="008423E4" w:rsidP="00302220">
            <w:pPr>
              <w:rPr>
                <w:b/>
              </w:rPr>
            </w:pPr>
          </w:p>
        </w:tc>
      </w:tr>
      <w:tr w:rsidR="007901AB" w14:paraId="1F985C33" w14:textId="77777777" w:rsidTr="00345119">
        <w:tc>
          <w:tcPr>
            <w:tcW w:w="9576" w:type="dxa"/>
          </w:tcPr>
          <w:p w14:paraId="5E395821" w14:textId="77777777" w:rsidR="008423E4" w:rsidRPr="00A8133F" w:rsidRDefault="00AA5FDB" w:rsidP="0030222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8F6E073" w14:textId="77777777" w:rsidR="008423E4" w:rsidRDefault="008423E4" w:rsidP="00302220"/>
          <w:p w14:paraId="120D7C4A" w14:textId="77777777" w:rsidR="008423E4" w:rsidRPr="003624F2" w:rsidRDefault="00AA5FDB" w:rsidP="003022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A65D490" w14:textId="77777777" w:rsidR="008423E4" w:rsidRPr="00233FDB" w:rsidRDefault="008423E4" w:rsidP="00302220">
            <w:pPr>
              <w:rPr>
                <w:b/>
              </w:rPr>
            </w:pPr>
          </w:p>
        </w:tc>
      </w:tr>
    </w:tbl>
    <w:p w14:paraId="3315D9BC" w14:textId="77777777" w:rsidR="008423E4" w:rsidRPr="00BE0E75" w:rsidRDefault="008423E4" w:rsidP="00302220">
      <w:pPr>
        <w:jc w:val="both"/>
        <w:rPr>
          <w:rFonts w:ascii="Arial" w:hAnsi="Arial"/>
          <w:sz w:val="16"/>
          <w:szCs w:val="16"/>
        </w:rPr>
      </w:pPr>
    </w:p>
    <w:p w14:paraId="684EC687" w14:textId="77777777" w:rsidR="004108C3" w:rsidRPr="008423E4" w:rsidRDefault="004108C3" w:rsidP="0030222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8B1C" w14:textId="77777777" w:rsidR="00000000" w:rsidRDefault="00AA5FDB">
      <w:r>
        <w:separator/>
      </w:r>
    </w:p>
  </w:endnote>
  <w:endnote w:type="continuationSeparator" w:id="0">
    <w:p w14:paraId="1504B620" w14:textId="77777777" w:rsidR="00000000" w:rsidRDefault="00AA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D55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901AB" w14:paraId="12B68775" w14:textId="77777777" w:rsidTr="009C1E9A">
      <w:trPr>
        <w:cantSplit/>
      </w:trPr>
      <w:tc>
        <w:tcPr>
          <w:tcW w:w="0" w:type="pct"/>
        </w:tcPr>
        <w:p w14:paraId="78B5C3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022E8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63F45C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65C3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F10CD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01AB" w14:paraId="3A081DA8" w14:textId="77777777" w:rsidTr="009C1E9A">
      <w:trPr>
        <w:cantSplit/>
      </w:trPr>
      <w:tc>
        <w:tcPr>
          <w:tcW w:w="0" w:type="pct"/>
        </w:tcPr>
        <w:p w14:paraId="7F7743C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6F426B" w14:textId="04E7A8AF" w:rsidR="00EC379B" w:rsidRPr="009C1E9A" w:rsidRDefault="00AA5F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18825</w:t>
          </w:r>
        </w:p>
      </w:tc>
      <w:tc>
        <w:tcPr>
          <w:tcW w:w="2453" w:type="pct"/>
        </w:tcPr>
        <w:p w14:paraId="5053CDB9" w14:textId="59545B3E" w:rsidR="00EC379B" w:rsidRDefault="00AA5F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07D91">
            <w:t>21.98.1044</w:t>
          </w:r>
          <w:r>
            <w:fldChar w:fldCharType="end"/>
          </w:r>
        </w:p>
      </w:tc>
    </w:tr>
    <w:tr w:rsidR="007901AB" w14:paraId="31AF5721" w14:textId="77777777" w:rsidTr="009C1E9A">
      <w:trPr>
        <w:cantSplit/>
      </w:trPr>
      <w:tc>
        <w:tcPr>
          <w:tcW w:w="0" w:type="pct"/>
        </w:tcPr>
        <w:p w14:paraId="64667BA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AA2129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6B0777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AE4AC3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01AB" w14:paraId="26FDD45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EAE59CB" w14:textId="77C4C85E" w:rsidR="00EC379B" w:rsidRDefault="00AA5F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7457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1B77B3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2C85A8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02B5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26277" w14:textId="77777777" w:rsidR="00000000" w:rsidRDefault="00AA5FDB">
      <w:r>
        <w:separator/>
      </w:r>
    </w:p>
  </w:footnote>
  <w:footnote w:type="continuationSeparator" w:id="0">
    <w:p w14:paraId="2DCCD614" w14:textId="77777777" w:rsidR="00000000" w:rsidRDefault="00AA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FBC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46D0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1C79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F55"/>
    <w:multiLevelType w:val="hybridMultilevel"/>
    <w:tmpl w:val="9EBAC3E4"/>
    <w:lvl w:ilvl="0" w:tplc="9F60C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80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CD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EB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6E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42A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C1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88E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07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B0B6F"/>
    <w:multiLevelType w:val="hybridMultilevel"/>
    <w:tmpl w:val="C3B6D6EE"/>
    <w:lvl w:ilvl="0" w:tplc="CC78B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62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BEA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C6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0B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E8B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0C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A7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2E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D1BA4"/>
    <w:multiLevelType w:val="hybridMultilevel"/>
    <w:tmpl w:val="52B20E4E"/>
    <w:lvl w:ilvl="0" w:tplc="AAD67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CD3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E3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C4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64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746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CB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09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70B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81903"/>
    <w:multiLevelType w:val="hybridMultilevel"/>
    <w:tmpl w:val="851641D0"/>
    <w:lvl w:ilvl="0" w:tplc="A53C5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AA2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589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4F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69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6B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84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63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063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9553A"/>
    <w:multiLevelType w:val="hybridMultilevel"/>
    <w:tmpl w:val="9FC8368A"/>
    <w:lvl w:ilvl="0" w:tplc="38706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44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24D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C4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6A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43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C0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CD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223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4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D4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75F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6A6A"/>
    <w:rsid w:val="00127893"/>
    <w:rsid w:val="001312BB"/>
    <w:rsid w:val="00137D90"/>
    <w:rsid w:val="00141FB6"/>
    <w:rsid w:val="00142F8E"/>
    <w:rsid w:val="00143C8B"/>
    <w:rsid w:val="00147530"/>
    <w:rsid w:val="0015331F"/>
    <w:rsid w:val="0015509B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70E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14C"/>
    <w:rsid w:val="001A2BDD"/>
    <w:rsid w:val="001A2E8B"/>
    <w:rsid w:val="001A3DDF"/>
    <w:rsid w:val="001A4310"/>
    <w:rsid w:val="001A4B6A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4CD9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2220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4C0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2FC8"/>
    <w:rsid w:val="0037457F"/>
    <w:rsid w:val="003747DF"/>
    <w:rsid w:val="00377E3D"/>
    <w:rsid w:val="003847E8"/>
    <w:rsid w:val="0038731D"/>
    <w:rsid w:val="00387B60"/>
    <w:rsid w:val="00390098"/>
    <w:rsid w:val="00392DA1"/>
    <w:rsid w:val="00392E56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478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0B7F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2D6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78BF"/>
    <w:rsid w:val="00541B98"/>
    <w:rsid w:val="00543374"/>
    <w:rsid w:val="00545548"/>
    <w:rsid w:val="00546923"/>
    <w:rsid w:val="00551CA6"/>
    <w:rsid w:val="00555034"/>
    <w:rsid w:val="0055551C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6D3F"/>
    <w:rsid w:val="005B031F"/>
    <w:rsid w:val="005B14E1"/>
    <w:rsid w:val="005B3298"/>
    <w:rsid w:val="005B5516"/>
    <w:rsid w:val="005B5D2B"/>
    <w:rsid w:val="005C1496"/>
    <w:rsid w:val="005C17C5"/>
    <w:rsid w:val="005C2B21"/>
    <w:rsid w:val="005C2C00"/>
    <w:rsid w:val="005C4865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56D8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3A2D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421F"/>
    <w:rsid w:val="00655C3E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766B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01AB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BF5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886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E7EA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07D91"/>
    <w:rsid w:val="00A10908"/>
    <w:rsid w:val="00A12330"/>
    <w:rsid w:val="00A1259F"/>
    <w:rsid w:val="00A12DC6"/>
    <w:rsid w:val="00A1446F"/>
    <w:rsid w:val="00A151B5"/>
    <w:rsid w:val="00A220FF"/>
    <w:rsid w:val="00A227E0"/>
    <w:rsid w:val="00A232E4"/>
    <w:rsid w:val="00A24AAD"/>
    <w:rsid w:val="00A26A8A"/>
    <w:rsid w:val="00A27255"/>
    <w:rsid w:val="00A27A85"/>
    <w:rsid w:val="00A32304"/>
    <w:rsid w:val="00A3420E"/>
    <w:rsid w:val="00A35D66"/>
    <w:rsid w:val="00A36BCD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5FDB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696A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6B23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D34"/>
    <w:rsid w:val="00CE3E20"/>
    <w:rsid w:val="00CE5E53"/>
    <w:rsid w:val="00CF4827"/>
    <w:rsid w:val="00CF4C69"/>
    <w:rsid w:val="00CF581C"/>
    <w:rsid w:val="00CF71E0"/>
    <w:rsid w:val="00CF7912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652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54A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4BF3"/>
    <w:rsid w:val="00DA564B"/>
    <w:rsid w:val="00DA5E17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A8D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16C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5C65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3A1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2DCA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C43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4D9A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0B0370-2087-4244-99AB-86EB5A1B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A6D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6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6D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6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6D3F"/>
    <w:rPr>
      <w:b/>
      <w:bCs/>
    </w:rPr>
  </w:style>
  <w:style w:type="paragraph" w:styleId="Revision">
    <w:name w:val="Revision"/>
    <w:hidden/>
    <w:uiPriority w:val="99"/>
    <w:semiHidden/>
    <w:rsid w:val="005A6D3F"/>
    <w:rPr>
      <w:sz w:val="24"/>
      <w:szCs w:val="24"/>
    </w:rPr>
  </w:style>
  <w:style w:type="character" w:styleId="Hyperlink">
    <w:name w:val="Hyperlink"/>
    <w:basedOn w:val="DefaultParagraphFont"/>
    <w:unhideWhenUsed/>
    <w:rsid w:val="00FD4D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52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3160</Characters>
  <Application>Microsoft Office Word</Application>
  <DocSecurity>4</DocSecurity>
  <Lines>79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HB03045 (Committee Report (Unamended))</vt:lpstr>
    </vt:vector>
  </TitlesOfParts>
  <Company>State of Texas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18825</dc:subject>
  <dc:creator>State of Texas</dc:creator>
  <dc:description>HB 3045 by Hull-(H)Insurance</dc:description>
  <cp:lastModifiedBy>Stacey Nicchio</cp:lastModifiedBy>
  <cp:revision>2</cp:revision>
  <cp:lastPrinted>2003-11-26T17:21:00Z</cp:lastPrinted>
  <dcterms:created xsi:type="dcterms:W3CDTF">2021-04-09T23:10:00Z</dcterms:created>
  <dcterms:modified xsi:type="dcterms:W3CDTF">2021-04-09T23:10:00Z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21.98.1044</vt:lpwstr>
  </property>
</Properties>
</file>