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0838" w14:paraId="371580F2" w14:textId="77777777" w:rsidTr="00345119">
        <w:tc>
          <w:tcPr>
            <w:tcW w:w="9576" w:type="dxa"/>
            <w:noWrap/>
          </w:tcPr>
          <w:p w14:paraId="0E2B8838" w14:textId="77777777" w:rsidR="008423E4" w:rsidRPr="0022177D" w:rsidRDefault="00FC091F" w:rsidP="000446B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008B05" w14:textId="77777777" w:rsidR="008423E4" w:rsidRPr="0022177D" w:rsidRDefault="008423E4" w:rsidP="000446B2">
      <w:pPr>
        <w:jc w:val="center"/>
      </w:pPr>
    </w:p>
    <w:p w14:paraId="62E2271D" w14:textId="77777777" w:rsidR="008423E4" w:rsidRPr="00B31F0E" w:rsidRDefault="008423E4" w:rsidP="000446B2"/>
    <w:p w14:paraId="19037DBF" w14:textId="77777777" w:rsidR="008423E4" w:rsidRPr="00742794" w:rsidRDefault="008423E4" w:rsidP="000446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0838" w14:paraId="16DB6E05" w14:textId="77777777" w:rsidTr="00345119">
        <w:tc>
          <w:tcPr>
            <w:tcW w:w="9576" w:type="dxa"/>
          </w:tcPr>
          <w:p w14:paraId="35FBC5AE" w14:textId="645C5C73" w:rsidR="008423E4" w:rsidRPr="00861995" w:rsidRDefault="00FC091F" w:rsidP="000446B2">
            <w:pPr>
              <w:jc w:val="right"/>
            </w:pPr>
            <w:r>
              <w:t>C.S.H.B. 3069</w:t>
            </w:r>
          </w:p>
        </w:tc>
      </w:tr>
      <w:tr w:rsidR="00B50838" w14:paraId="7210997A" w14:textId="77777777" w:rsidTr="00345119">
        <w:tc>
          <w:tcPr>
            <w:tcW w:w="9576" w:type="dxa"/>
          </w:tcPr>
          <w:p w14:paraId="7B186611" w14:textId="7B7A1965" w:rsidR="008423E4" w:rsidRPr="00861995" w:rsidRDefault="00FC091F" w:rsidP="000446B2">
            <w:pPr>
              <w:jc w:val="right"/>
            </w:pPr>
            <w:r>
              <w:t xml:space="preserve">By: </w:t>
            </w:r>
            <w:r w:rsidR="0011187B">
              <w:t>Holland</w:t>
            </w:r>
          </w:p>
        </w:tc>
      </w:tr>
      <w:tr w:rsidR="00B50838" w14:paraId="0EEC494C" w14:textId="77777777" w:rsidTr="00345119">
        <w:tc>
          <w:tcPr>
            <w:tcW w:w="9576" w:type="dxa"/>
          </w:tcPr>
          <w:p w14:paraId="01DCCE8B" w14:textId="60CE871E" w:rsidR="008423E4" w:rsidRPr="00861995" w:rsidRDefault="00FC091F" w:rsidP="000446B2">
            <w:pPr>
              <w:jc w:val="right"/>
            </w:pPr>
            <w:r>
              <w:t>Judiciary &amp; Civil Jurisprudence</w:t>
            </w:r>
          </w:p>
        </w:tc>
      </w:tr>
      <w:tr w:rsidR="00B50838" w14:paraId="24A8178F" w14:textId="77777777" w:rsidTr="00345119">
        <w:tc>
          <w:tcPr>
            <w:tcW w:w="9576" w:type="dxa"/>
          </w:tcPr>
          <w:p w14:paraId="19C48ED4" w14:textId="6824DE31" w:rsidR="008423E4" w:rsidRDefault="00FC091F" w:rsidP="000446B2">
            <w:pPr>
              <w:jc w:val="right"/>
            </w:pPr>
            <w:r>
              <w:t>Committee Report (Substituted)</w:t>
            </w:r>
          </w:p>
        </w:tc>
      </w:tr>
    </w:tbl>
    <w:p w14:paraId="5F9C99CC" w14:textId="77777777" w:rsidR="008423E4" w:rsidRDefault="008423E4" w:rsidP="000446B2">
      <w:pPr>
        <w:tabs>
          <w:tab w:val="right" w:pos="9360"/>
        </w:tabs>
      </w:pPr>
    </w:p>
    <w:p w14:paraId="15C50094" w14:textId="77777777" w:rsidR="008423E4" w:rsidRDefault="008423E4" w:rsidP="000446B2"/>
    <w:p w14:paraId="41B3DC99" w14:textId="77777777" w:rsidR="008423E4" w:rsidRDefault="008423E4" w:rsidP="000446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0838" w14:paraId="17ACCF35" w14:textId="77777777" w:rsidTr="00345119">
        <w:tc>
          <w:tcPr>
            <w:tcW w:w="9576" w:type="dxa"/>
          </w:tcPr>
          <w:p w14:paraId="2C22A137" w14:textId="77777777" w:rsidR="008423E4" w:rsidRPr="00A8133F" w:rsidRDefault="00FC091F" w:rsidP="000446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8F8755" w14:textId="77777777" w:rsidR="008423E4" w:rsidRDefault="008423E4" w:rsidP="000446B2"/>
          <w:p w14:paraId="6847A53D" w14:textId="03E6E5F7" w:rsidR="008423E4" w:rsidRDefault="00FC091F" w:rsidP="000446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7E27">
              <w:t xml:space="preserve">In Texas, building owners have up to a total of 12 years to </w:t>
            </w:r>
            <w:r w:rsidR="00D82AAC">
              <w:t>begin</w:t>
            </w:r>
            <w:r w:rsidR="00D82AAC" w:rsidRPr="007B7E27">
              <w:t xml:space="preserve"> </w:t>
            </w:r>
            <w:r w:rsidRPr="007B7E27">
              <w:t xml:space="preserve">a construction defect claim: 10 years under the </w:t>
            </w:r>
            <w:r w:rsidRPr="007B7E27">
              <w:t>statute of repose to discover the defects, plus 2 years under the statute of limitations to file suit after the defect has been discovered if a written claim was presented within the previous time period. By the end of the 12-year</w:t>
            </w:r>
            <w:r w:rsidR="00474532">
              <w:t xml:space="preserve"> period</w:t>
            </w:r>
            <w:r w:rsidRPr="007B7E27">
              <w:t>, the architects, i</w:t>
            </w:r>
            <w:r w:rsidRPr="007B7E27">
              <w:t xml:space="preserve">nterior designers, engineers, and contractors </w:t>
            </w:r>
            <w:r w:rsidR="00474532">
              <w:t>may</w:t>
            </w:r>
            <w:r w:rsidR="00474532" w:rsidRPr="007B7E27">
              <w:t xml:space="preserve"> </w:t>
            </w:r>
            <w:r w:rsidRPr="007B7E27">
              <w:t xml:space="preserve">no longer be in operation, records could be lost, and witnesses </w:t>
            </w:r>
            <w:r w:rsidR="00474532">
              <w:t xml:space="preserve">may be difficult </w:t>
            </w:r>
            <w:r w:rsidRPr="007B7E27">
              <w:t>to locate. Ad</w:t>
            </w:r>
            <w:r w:rsidR="00474532">
              <w:t>d</w:t>
            </w:r>
            <w:r w:rsidRPr="007B7E27">
              <w:t xml:space="preserve">itionally, there is a significant amount of wear-and-tear damage </w:t>
            </w:r>
            <w:r w:rsidR="00D82AAC">
              <w:t xml:space="preserve">that may occur </w:t>
            </w:r>
            <w:r w:rsidRPr="007B7E27">
              <w:t>to the building over the course</w:t>
            </w:r>
            <w:r w:rsidRPr="007B7E27">
              <w:t xml:space="preserve"> of </w:t>
            </w:r>
            <w:r w:rsidR="00474532">
              <w:t xml:space="preserve">that </w:t>
            </w:r>
            <w:r w:rsidRPr="007B7E27">
              <w:t>12</w:t>
            </w:r>
            <w:r w:rsidR="00865694">
              <w:t>-</w:t>
            </w:r>
            <w:r w:rsidRPr="007B7E27">
              <w:t>year</w:t>
            </w:r>
            <w:r w:rsidR="00474532">
              <w:t xml:space="preserve"> period</w:t>
            </w:r>
            <w:r w:rsidR="00D82AAC">
              <w:t>. As a result,</w:t>
            </w:r>
            <w:r w:rsidRPr="007B7E27">
              <w:t xml:space="preserve"> contractors must then distinguish between defects that existed at the time of </w:t>
            </w:r>
            <w:r>
              <w:t>completion</w:t>
            </w:r>
            <w:r w:rsidR="00474532">
              <w:t xml:space="preserve"> and effects from</w:t>
            </w:r>
            <w:r w:rsidRPr="007B7E27">
              <w:t xml:space="preserve"> use, poor maintenance, secondary repairs, or other </w:t>
            </w:r>
            <w:r w:rsidR="00D82AAC">
              <w:t>issues</w:t>
            </w:r>
            <w:r w:rsidRPr="007B7E27">
              <w:t xml:space="preserve">. </w:t>
            </w:r>
            <w:r w:rsidR="00474532">
              <w:t>Some have argued that t</w:t>
            </w:r>
            <w:r w:rsidRPr="007B7E27">
              <w:t>his</w:t>
            </w:r>
            <w:r w:rsidR="00474532">
              <w:t xml:space="preserve"> ultimately</w:t>
            </w:r>
            <w:r w:rsidRPr="007B7E27">
              <w:t xml:space="preserve"> leads to increa</w:t>
            </w:r>
            <w:r w:rsidRPr="007B7E27">
              <w:t>sed litigation costs, as well as frivolous and opportunistic suits.</w:t>
            </w:r>
            <w:r>
              <w:t xml:space="preserve"> C.S.H.B.</w:t>
            </w:r>
            <w:r w:rsidRPr="007B7E27">
              <w:t xml:space="preserve"> 3069 </w:t>
            </w:r>
            <w:r w:rsidR="00474532">
              <w:t xml:space="preserve">seeks to address this issue by </w:t>
            </w:r>
            <w:r w:rsidRPr="007B7E27">
              <w:t>shorten</w:t>
            </w:r>
            <w:r w:rsidR="00474532">
              <w:t>ing</w:t>
            </w:r>
            <w:r w:rsidRPr="007B7E27">
              <w:t xml:space="preserve"> the period during which a government entity must bring suit for damages for certain claims against a person who constructs or repair</w:t>
            </w:r>
            <w:r w:rsidRPr="007B7E27">
              <w:t>s an improvement to real property</w:t>
            </w:r>
            <w:r w:rsidR="00474532">
              <w:t>.</w:t>
            </w:r>
            <w:r w:rsidRPr="007B7E27">
              <w:t xml:space="preserve"> </w:t>
            </w:r>
          </w:p>
          <w:p w14:paraId="1F9AFB71" w14:textId="77777777" w:rsidR="008423E4" w:rsidRPr="00E26B13" w:rsidRDefault="008423E4" w:rsidP="000446B2">
            <w:pPr>
              <w:rPr>
                <w:b/>
              </w:rPr>
            </w:pPr>
          </w:p>
        </w:tc>
      </w:tr>
      <w:tr w:rsidR="00B50838" w14:paraId="1E98F8E3" w14:textId="77777777" w:rsidTr="00345119">
        <w:tc>
          <w:tcPr>
            <w:tcW w:w="9576" w:type="dxa"/>
          </w:tcPr>
          <w:p w14:paraId="5B95DDB9" w14:textId="77777777" w:rsidR="0017725B" w:rsidRDefault="00FC091F" w:rsidP="000446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67E843" w14:textId="77777777" w:rsidR="0017725B" w:rsidRDefault="0017725B" w:rsidP="000446B2">
            <w:pPr>
              <w:rPr>
                <w:b/>
                <w:u w:val="single"/>
              </w:rPr>
            </w:pPr>
          </w:p>
          <w:p w14:paraId="704614F3" w14:textId="77777777" w:rsidR="00B830D3" w:rsidRPr="00B830D3" w:rsidRDefault="00FC091F" w:rsidP="000446B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4B9E9A79" w14:textId="77777777" w:rsidR="0017725B" w:rsidRPr="0017725B" w:rsidRDefault="0017725B" w:rsidP="000446B2">
            <w:pPr>
              <w:rPr>
                <w:b/>
                <w:u w:val="single"/>
              </w:rPr>
            </w:pPr>
          </w:p>
        </w:tc>
      </w:tr>
      <w:tr w:rsidR="00B50838" w14:paraId="35A1E2C8" w14:textId="77777777" w:rsidTr="00345119">
        <w:tc>
          <w:tcPr>
            <w:tcW w:w="9576" w:type="dxa"/>
          </w:tcPr>
          <w:p w14:paraId="6D90E9A3" w14:textId="77777777" w:rsidR="008423E4" w:rsidRPr="00A8133F" w:rsidRDefault="00FC091F" w:rsidP="000446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6015DD" w14:textId="77777777" w:rsidR="008423E4" w:rsidRDefault="008423E4" w:rsidP="000446B2"/>
          <w:p w14:paraId="60339EAB" w14:textId="77777777" w:rsidR="00B830D3" w:rsidRDefault="00FC091F" w:rsidP="000446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375AE8CD" w14:textId="77777777" w:rsidR="008423E4" w:rsidRPr="00E21FDC" w:rsidRDefault="008423E4" w:rsidP="000446B2">
            <w:pPr>
              <w:rPr>
                <w:b/>
              </w:rPr>
            </w:pPr>
          </w:p>
        </w:tc>
      </w:tr>
      <w:tr w:rsidR="00B50838" w14:paraId="1B6A0F58" w14:textId="77777777" w:rsidTr="00345119">
        <w:tc>
          <w:tcPr>
            <w:tcW w:w="9576" w:type="dxa"/>
          </w:tcPr>
          <w:p w14:paraId="1E85D21F" w14:textId="77777777" w:rsidR="008423E4" w:rsidRPr="00A8133F" w:rsidRDefault="00FC091F" w:rsidP="000446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AC356" w14:textId="77777777" w:rsidR="008423E4" w:rsidRDefault="008423E4" w:rsidP="000446B2"/>
          <w:p w14:paraId="64F36C0D" w14:textId="36F9A4BF" w:rsidR="00F948E9" w:rsidRDefault="00FC091F" w:rsidP="000446B2">
            <w:pPr>
              <w:pStyle w:val="Header"/>
              <w:jc w:val="both"/>
            </w:pPr>
            <w:r>
              <w:t>C.S.</w:t>
            </w:r>
            <w:r w:rsidR="007A1467">
              <w:t xml:space="preserve">H.B. 3069 amends the </w:t>
            </w:r>
            <w:r w:rsidR="007A1467" w:rsidRPr="007A1467">
              <w:t>Civil Practice and Remedies Code</w:t>
            </w:r>
            <w:r w:rsidR="007629C3">
              <w:t xml:space="preserve"> to</w:t>
            </w:r>
            <w:r w:rsidR="007A1467">
              <w:t xml:space="preserve"> </w:t>
            </w:r>
            <w:r>
              <w:t xml:space="preserve">shorten </w:t>
            </w:r>
            <w:r w:rsidR="007629C3">
              <w:t xml:space="preserve">the limitations period </w:t>
            </w:r>
            <w:r w:rsidR="00893178">
              <w:t xml:space="preserve">under which </w:t>
            </w:r>
            <w:r w:rsidR="007629C3">
              <w:t>a government</w:t>
            </w:r>
            <w:r w:rsidR="00865694">
              <w:t>al</w:t>
            </w:r>
            <w:r w:rsidR="007629C3">
              <w:t xml:space="preserve"> entity </w:t>
            </w:r>
            <w:r w:rsidR="00893178">
              <w:t xml:space="preserve">may </w:t>
            </w:r>
            <w:r w:rsidR="007629C3">
              <w:t>b</w:t>
            </w:r>
            <w:r w:rsidR="001912C6">
              <w:t>ring</w:t>
            </w:r>
            <w:r w:rsidR="007629C3">
              <w:t xml:space="preserve"> suit for damages </w:t>
            </w:r>
            <w:r w:rsidR="00893178">
              <w:t xml:space="preserve">for certain claims </w:t>
            </w:r>
            <w:r w:rsidR="007629C3">
              <w:t>against</w:t>
            </w:r>
            <w:r w:rsidR="007629C3" w:rsidRPr="007629C3">
              <w:t xml:space="preserve"> a registered or licensed architect, engineer, interior designer</w:t>
            </w:r>
            <w:r w:rsidR="007629C3">
              <w:t>, or landscape architect in Texas</w:t>
            </w:r>
            <w:r w:rsidR="007629C3" w:rsidRPr="007629C3">
              <w:t>, who designs, plans, or inspects the construction of an improvement to real property or equipment attached to real property</w:t>
            </w:r>
            <w:r w:rsidR="00F4760D">
              <w:t>, or against a person who constructs or repairs an improvement to real property</w:t>
            </w:r>
            <w:r w:rsidR="007629C3" w:rsidRPr="007629C3">
              <w:t>,</w:t>
            </w:r>
            <w:r w:rsidR="007629C3">
              <w:t xml:space="preserve"> from </w:t>
            </w:r>
            <w:r w:rsidR="007629C3" w:rsidRPr="007629C3">
              <w:t xml:space="preserve">not later than </w:t>
            </w:r>
            <w:r w:rsidR="001912C6">
              <w:t>10</w:t>
            </w:r>
            <w:r w:rsidR="007629C3" w:rsidRPr="007629C3">
              <w:t xml:space="preserve"> years after the substantial completion of the improvement or the beginning of</w:t>
            </w:r>
            <w:r w:rsidR="001912C6">
              <w:t xml:space="preserve"> the</w:t>
            </w:r>
            <w:r w:rsidR="007629C3" w:rsidRPr="007629C3">
              <w:t xml:space="preserve"> operation</w:t>
            </w:r>
            <w:r w:rsidR="007629C3">
              <w:t xml:space="preserve"> of </w:t>
            </w:r>
            <w:r w:rsidR="00893178">
              <w:t xml:space="preserve">the </w:t>
            </w:r>
            <w:r w:rsidR="001912C6">
              <w:t>equipment</w:t>
            </w:r>
            <w:r w:rsidR="007629C3">
              <w:t xml:space="preserve"> to not later than </w:t>
            </w:r>
            <w:r w:rsidR="000446B2">
              <w:t xml:space="preserve">8 </w:t>
            </w:r>
            <w:r w:rsidR="007629C3">
              <w:t xml:space="preserve">years after </w:t>
            </w:r>
            <w:r w:rsidR="0008477D">
              <w:t xml:space="preserve">the </w:t>
            </w:r>
            <w:r w:rsidR="007629C3">
              <w:t>completion or operation</w:t>
            </w:r>
            <w:r w:rsidR="0008477D">
              <w:t xml:space="preserve"> of equipment</w:t>
            </w:r>
            <w:r w:rsidR="007629C3">
              <w:t xml:space="preserve">. </w:t>
            </w:r>
            <w:r>
              <w:t xml:space="preserve">This provision does not apply to claims arising </w:t>
            </w:r>
            <w:r>
              <w:t>from the following:</w:t>
            </w:r>
          </w:p>
          <w:p w14:paraId="1851EC40" w14:textId="6EC3B493" w:rsidR="00F948E9" w:rsidRDefault="00FC091F" w:rsidP="000446B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contract entered into by the Texas Department of Transportation;</w:t>
            </w:r>
          </w:p>
          <w:p w14:paraId="19E10501" w14:textId="4F6B7FAB" w:rsidR="00F948E9" w:rsidRDefault="00FC091F" w:rsidP="000446B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project that receives money from the state highway fund or a federal fund designated for highway and mass transit spending; or</w:t>
            </w:r>
          </w:p>
          <w:p w14:paraId="79846612" w14:textId="6889C237" w:rsidR="00962D1B" w:rsidRDefault="00FC091F" w:rsidP="000446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 civil works project.</w:t>
            </w:r>
          </w:p>
          <w:p w14:paraId="674CCAB4" w14:textId="77777777" w:rsidR="00962D1B" w:rsidRDefault="00962D1B" w:rsidP="000446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FD9FFE5" w14:textId="642E56DA" w:rsidR="00B830D3" w:rsidRPr="009C36CD" w:rsidRDefault="00FC091F" w:rsidP="000446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62D1B">
              <w:t>H.B. 3069</w:t>
            </w:r>
            <w:r w:rsidR="001912C6">
              <w:t xml:space="preserve"> decreases the extension </w:t>
            </w:r>
            <w:r w:rsidR="00962D1B">
              <w:t>of the</w:t>
            </w:r>
            <w:r w:rsidR="001912C6">
              <w:t xml:space="preserve"> limitations period for </w:t>
            </w:r>
            <w:r w:rsidR="008804F0">
              <w:t xml:space="preserve">governmental entity </w:t>
            </w:r>
            <w:r w:rsidR="001912C6">
              <w:t xml:space="preserve">claimants that present a written claim </w:t>
            </w:r>
            <w:r w:rsidR="00962D1B">
              <w:t xml:space="preserve">within </w:t>
            </w:r>
            <w:r w:rsidR="0008477D">
              <w:t>that period</w:t>
            </w:r>
            <w:r>
              <w:t xml:space="preserve"> </w:t>
            </w:r>
            <w:r w:rsidR="00F4760D">
              <w:t xml:space="preserve">from </w:t>
            </w:r>
            <w:r w:rsidR="00F4760D" w:rsidRPr="00F4760D">
              <w:t>two years from the date the claim is presented</w:t>
            </w:r>
            <w:r w:rsidR="00F4760D">
              <w:t xml:space="preserve"> to one year from that date. </w:t>
            </w:r>
          </w:p>
          <w:p w14:paraId="393AAF76" w14:textId="77777777" w:rsidR="008423E4" w:rsidRPr="00835628" w:rsidRDefault="008423E4" w:rsidP="000446B2">
            <w:pPr>
              <w:rPr>
                <w:b/>
              </w:rPr>
            </w:pPr>
          </w:p>
        </w:tc>
      </w:tr>
      <w:tr w:rsidR="00B50838" w14:paraId="4B0D6828" w14:textId="77777777" w:rsidTr="00345119">
        <w:tc>
          <w:tcPr>
            <w:tcW w:w="9576" w:type="dxa"/>
          </w:tcPr>
          <w:p w14:paraId="4EDB75C4" w14:textId="77777777" w:rsidR="008423E4" w:rsidRPr="00A8133F" w:rsidRDefault="00FC091F" w:rsidP="000446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41AF07" w14:textId="77777777" w:rsidR="008423E4" w:rsidRDefault="008423E4" w:rsidP="000446B2"/>
          <w:p w14:paraId="76E47CAD" w14:textId="77777777" w:rsidR="008423E4" w:rsidRPr="003624F2" w:rsidRDefault="00FC091F" w:rsidP="000446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</w:t>
            </w:r>
            <w:r>
              <w:t>l does not receive the necessary vote, September 1, 2021.</w:t>
            </w:r>
          </w:p>
          <w:p w14:paraId="368FF095" w14:textId="77777777" w:rsidR="008423E4" w:rsidRPr="00233FDB" w:rsidRDefault="008423E4" w:rsidP="000446B2">
            <w:pPr>
              <w:rPr>
                <w:b/>
              </w:rPr>
            </w:pPr>
          </w:p>
        </w:tc>
      </w:tr>
      <w:tr w:rsidR="00B50838" w14:paraId="3AC711CB" w14:textId="77777777" w:rsidTr="00345119">
        <w:tc>
          <w:tcPr>
            <w:tcW w:w="9576" w:type="dxa"/>
          </w:tcPr>
          <w:p w14:paraId="56EDC113" w14:textId="77777777" w:rsidR="0011187B" w:rsidRDefault="00FC091F" w:rsidP="000446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FD22140" w14:textId="77777777" w:rsidR="00384553" w:rsidRDefault="00384553" w:rsidP="000446B2">
            <w:pPr>
              <w:jc w:val="both"/>
            </w:pPr>
          </w:p>
          <w:p w14:paraId="68E54598" w14:textId="6D7948E3" w:rsidR="00384553" w:rsidRDefault="00FC091F" w:rsidP="000446B2">
            <w:pPr>
              <w:jc w:val="both"/>
            </w:pPr>
            <w:r>
              <w:t>While C.S.H.B. 3069 may differ from the original in minor or nonsubstantive ways, the following summarizes the substantial differences between the introduced</w:t>
            </w:r>
            <w:r>
              <w:t xml:space="preserve"> and committee substitute versions of the bill.</w:t>
            </w:r>
          </w:p>
          <w:p w14:paraId="60EE1ECE" w14:textId="326BB3D1" w:rsidR="00384553" w:rsidRDefault="00384553" w:rsidP="000446B2">
            <w:pPr>
              <w:jc w:val="both"/>
            </w:pPr>
          </w:p>
          <w:p w14:paraId="68DE34C9" w14:textId="6B692C1E" w:rsidR="00384553" w:rsidRDefault="00FC091F" w:rsidP="000446B2">
            <w:pPr>
              <w:jc w:val="both"/>
            </w:pPr>
            <w:r>
              <w:t>The substitute</w:t>
            </w:r>
            <w:r w:rsidRPr="00384553">
              <w:t xml:space="preserve"> </w:t>
            </w:r>
            <w:r w:rsidR="001124DC">
              <w:t>lengthens</w:t>
            </w:r>
            <w:r w:rsidR="001124DC" w:rsidRPr="00384553">
              <w:t xml:space="preserve"> </w:t>
            </w:r>
            <w:r w:rsidRPr="00384553">
              <w:t>the limitations period under which a government</w:t>
            </w:r>
            <w:r w:rsidR="00B623F3">
              <w:t>al</w:t>
            </w:r>
            <w:r w:rsidRPr="00384553">
              <w:t xml:space="preserve"> entity may bring suit for damages </w:t>
            </w:r>
            <w:r w:rsidR="00FE7F45">
              <w:t xml:space="preserve">under the bill's provisions </w:t>
            </w:r>
            <w:r w:rsidR="0051394A" w:rsidRPr="0051394A">
              <w:t xml:space="preserve">from </w:t>
            </w:r>
            <w:r w:rsidRPr="00384553">
              <w:t xml:space="preserve">not later than </w:t>
            </w:r>
            <w:r w:rsidR="00FE7F45">
              <w:t>five</w:t>
            </w:r>
            <w:r w:rsidR="00FE7F45" w:rsidRPr="00384553">
              <w:t xml:space="preserve"> </w:t>
            </w:r>
            <w:r w:rsidRPr="00384553">
              <w:t xml:space="preserve">years after the substantial completion of the improvement or the beginning of the operation of </w:t>
            </w:r>
            <w:r w:rsidR="0051394A">
              <w:t>applicable</w:t>
            </w:r>
            <w:r w:rsidRPr="00384553">
              <w:t xml:space="preserve"> equipment</w:t>
            </w:r>
            <w:r w:rsidR="001124DC">
              <w:t>, which was in the original,</w:t>
            </w:r>
            <w:r w:rsidRPr="00384553">
              <w:t xml:space="preserve"> to not later than eight years after the completion or operation of equipment</w:t>
            </w:r>
            <w:r w:rsidR="0051394A">
              <w:t xml:space="preserve">. </w:t>
            </w:r>
          </w:p>
          <w:p w14:paraId="179E9BAE" w14:textId="722FA449" w:rsidR="00384553" w:rsidRPr="00384553" w:rsidRDefault="00384553" w:rsidP="000446B2">
            <w:pPr>
              <w:jc w:val="both"/>
            </w:pPr>
          </w:p>
        </w:tc>
      </w:tr>
      <w:tr w:rsidR="00B50838" w14:paraId="35DB06BF" w14:textId="77777777" w:rsidTr="00345119">
        <w:tc>
          <w:tcPr>
            <w:tcW w:w="9576" w:type="dxa"/>
          </w:tcPr>
          <w:p w14:paraId="6D92DAA6" w14:textId="77777777" w:rsidR="0011187B" w:rsidRPr="009C1E9A" w:rsidRDefault="0011187B" w:rsidP="000446B2">
            <w:pPr>
              <w:rPr>
                <w:b/>
                <w:u w:val="single"/>
              </w:rPr>
            </w:pPr>
          </w:p>
        </w:tc>
      </w:tr>
      <w:tr w:rsidR="00B50838" w14:paraId="26AADC40" w14:textId="77777777" w:rsidTr="00345119">
        <w:tc>
          <w:tcPr>
            <w:tcW w:w="9576" w:type="dxa"/>
          </w:tcPr>
          <w:p w14:paraId="151A2284" w14:textId="77777777" w:rsidR="0011187B" w:rsidRPr="0011187B" w:rsidRDefault="0011187B" w:rsidP="000446B2">
            <w:pPr>
              <w:jc w:val="both"/>
            </w:pPr>
          </w:p>
        </w:tc>
      </w:tr>
    </w:tbl>
    <w:p w14:paraId="5C61B32D" w14:textId="77777777" w:rsidR="008423E4" w:rsidRPr="00BE0E75" w:rsidRDefault="008423E4" w:rsidP="000446B2">
      <w:pPr>
        <w:jc w:val="both"/>
        <w:rPr>
          <w:rFonts w:ascii="Arial" w:hAnsi="Arial"/>
          <w:sz w:val="16"/>
          <w:szCs w:val="16"/>
        </w:rPr>
      </w:pPr>
    </w:p>
    <w:p w14:paraId="2B23ADB9" w14:textId="77777777" w:rsidR="004108C3" w:rsidRPr="008423E4" w:rsidRDefault="004108C3" w:rsidP="000446B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A1F1" w14:textId="77777777" w:rsidR="00000000" w:rsidRDefault="00FC091F">
      <w:r>
        <w:separator/>
      </w:r>
    </w:p>
  </w:endnote>
  <w:endnote w:type="continuationSeparator" w:id="0">
    <w:p w14:paraId="27E6CC5E" w14:textId="77777777" w:rsidR="00000000" w:rsidRDefault="00FC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67F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0838" w14:paraId="4883F67B" w14:textId="77777777" w:rsidTr="009C1E9A">
      <w:trPr>
        <w:cantSplit/>
      </w:trPr>
      <w:tc>
        <w:tcPr>
          <w:tcW w:w="0" w:type="pct"/>
        </w:tcPr>
        <w:p w14:paraId="138160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704C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2CD9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8EC9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CE18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838" w14:paraId="4C00918B" w14:textId="77777777" w:rsidTr="009C1E9A">
      <w:trPr>
        <w:cantSplit/>
      </w:trPr>
      <w:tc>
        <w:tcPr>
          <w:tcW w:w="0" w:type="pct"/>
        </w:tcPr>
        <w:p w14:paraId="0993BA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C3258" w14:textId="310AA449" w:rsidR="00EC379B" w:rsidRPr="009C1E9A" w:rsidRDefault="00FC09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21246</w:t>
          </w:r>
        </w:p>
      </w:tc>
      <w:tc>
        <w:tcPr>
          <w:tcW w:w="2453" w:type="pct"/>
        </w:tcPr>
        <w:p w14:paraId="03040355" w14:textId="67A04F62" w:rsidR="00EC379B" w:rsidRDefault="00FC09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446B2">
            <w:t>21.112.1448</w:t>
          </w:r>
          <w:r>
            <w:fldChar w:fldCharType="end"/>
          </w:r>
        </w:p>
      </w:tc>
    </w:tr>
    <w:tr w:rsidR="00B50838" w14:paraId="22F1D1C7" w14:textId="77777777" w:rsidTr="009C1E9A">
      <w:trPr>
        <w:cantSplit/>
      </w:trPr>
      <w:tc>
        <w:tcPr>
          <w:tcW w:w="0" w:type="pct"/>
        </w:tcPr>
        <w:p w14:paraId="4CDC6E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7A5A75" w14:textId="6139FCAC" w:rsidR="00EC379B" w:rsidRPr="009C1E9A" w:rsidRDefault="00FC09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19413</w:t>
          </w:r>
        </w:p>
      </w:tc>
      <w:tc>
        <w:tcPr>
          <w:tcW w:w="2453" w:type="pct"/>
        </w:tcPr>
        <w:p w14:paraId="53ED0C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FBD3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838" w14:paraId="4B7430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098B6C" w14:textId="25999804" w:rsidR="00EC379B" w:rsidRDefault="00FC09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46B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33676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7874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7E2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E304" w14:textId="77777777" w:rsidR="00000000" w:rsidRDefault="00FC091F">
      <w:r>
        <w:separator/>
      </w:r>
    </w:p>
  </w:footnote>
  <w:footnote w:type="continuationSeparator" w:id="0">
    <w:p w14:paraId="15605881" w14:textId="77777777" w:rsidR="00000000" w:rsidRDefault="00FC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AEB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55C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DD9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424"/>
    <w:multiLevelType w:val="hybridMultilevel"/>
    <w:tmpl w:val="9104D128"/>
    <w:lvl w:ilvl="0" w:tplc="BC8A7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80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A6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C9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6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2E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A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AF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58A"/>
    <w:multiLevelType w:val="hybridMultilevel"/>
    <w:tmpl w:val="0282A7E2"/>
    <w:lvl w:ilvl="0" w:tplc="18EA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62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86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1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48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A7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C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4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2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2"/>
    <w:rsid w:val="00000A70"/>
    <w:rsid w:val="000032B8"/>
    <w:rsid w:val="00003B06"/>
    <w:rsid w:val="000054B9"/>
    <w:rsid w:val="00007371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6B2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77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87B"/>
    <w:rsid w:val="001124D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43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2C6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553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53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25A"/>
    <w:rsid w:val="005073E8"/>
    <w:rsid w:val="00510503"/>
    <w:rsid w:val="0051324D"/>
    <w:rsid w:val="0051394A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C6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81E"/>
    <w:rsid w:val="00736FB0"/>
    <w:rsid w:val="007404BC"/>
    <w:rsid w:val="00740D13"/>
    <w:rsid w:val="00740F5F"/>
    <w:rsid w:val="00742794"/>
    <w:rsid w:val="00743C4C"/>
    <w:rsid w:val="007445B7"/>
    <w:rsid w:val="00744920"/>
    <w:rsid w:val="00746FBD"/>
    <w:rsid w:val="007509BE"/>
    <w:rsid w:val="0075287B"/>
    <w:rsid w:val="00755C7B"/>
    <w:rsid w:val="007629C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467"/>
    <w:rsid w:val="007A331F"/>
    <w:rsid w:val="007A3844"/>
    <w:rsid w:val="007A4381"/>
    <w:rsid w:val="007A5466"/>
    <w:rsid w:val="007A7EC1"/>
    <w:rsid w:val="007B4FCA"/>
    <w:rsid w:val="007B7139"/>
    <w:rsid w:val="007B7B85"/>
    <w:rsid w:val="007B7E27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694"/>
    <w:rsid w:val="00866F9D"/>
    <w:rsid w:val="008673D9"/>
    <w:rsid w:val="00871775"/>
    <w:rsid w:val="00871AEF"/>
    <w:rsid w:val="008726E5"/>
    <w:rsid w:val="0087289E"/>
    <w:rsid w:val="00874C05"/>
    <w:rsid w:val="0087680A"/>
    <w:rsid w:val="008804F0"/>
    <w:rsid w:val="008806EB"/>
    <w:rsid w:val="008826F2"/>
    <w:rsid w:val="008845BA"/>
    <w:rsid w:val="00885203"/>
    <w:rsid w:val="008859CA"/>
    <w:rsid w:val="008861EE"/>
    <w:rsid w:val="00890B59"/>
    <w:rsid w:val="008930D7"/>
    <w:rsid w:val="00893178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5CE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D1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526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5DED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5CA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838"/>
    <w:rsid w:val="00B5165A"/>
    <w:rsid w:val="00B524C1"/>
    <w:rsid w:val="00B52C8D"/>
    <w:rsid w:val="00B564BF"/>
    <w:rsid w:val="00B6104E"/>
    <w:rsid w:val="00B610C7"/>
    <w:rsid w:val="00B62106"/>
    <w:rsid w:val="00B623F3"/>
    <w:rsid w:val="00B626A8"/>
    <w:rsid w:val="00B65695"/>
    <w:rsid w:val="00B66526"/>
    <w:rsid w:val="00B665A3"/>
    <w:rsid w:val="00B73BB4"/>
    <w:rsid w:val="00B80532"/>
    <w:rsid w:val="00B82039"/>
    <w:rsid w:val="00B82454"/>
    <w:rsid w:val="00B830D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396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432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AAC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EEB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864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60D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8E9"/>
    <w:rsid w:val="00F95AE0"/>
    <w:rsid w:val="00F96602"/>
    <w:rsid w:val="00F9735A"/>
    <w:rsid w:val="00FA32FC"/>
    <w:rsid w:val="00FA59FD"/>
    <w:rsid w:val="00FA5D8C"/>
    <w:rsid w:val="00FA6403"/>
    <w:rsid w:val="00FB16CD"/>
    <w:rsid w:val="00FB73AE"/>
    <w:rsid w:val="00FC091F"/>
    <w:rsid w:val="00FC5388"/>
    <w:rsid w:val="00FC726C"/>
    <w:rsid w:val="00FD1B4B"/>
    <w:rsid w:val="00FD1B94"/>
    <w:rsid w:val="00FE19C5"/>
    <w:rsid w:val="00FE4286"/>
    <w:rsid w:val="00FE4637"/>
    <w:rsid w:val="00FE48C3"/>
    <w:rsid w:val="00FE5909"/>
    <w:rsid w:val="00FE652E"/>
    <w:rsid w:val="00FE71FE"/>
    <w:rsid w:val="00FE7F45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9B9F12-A5D7-4246-9CD4-002460C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2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2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2D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3135</Characters>
  <Application>Microsoft Office Word</Application>
  <DocSecurity>4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HB03069 (Committee Report (Substituted))</vt:lpstr>
    </vt:vector>
  </TitlesOfParts>
  <Company>State of Texas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21246</dc:subject>
  <dc:creator>State of Texas</dc:creator>
  <dc:description>HB 3069 by Holland-(H)Judiciary &amp; Civil Jurisprudence (Substitute Document Number: 87R 19413)</dc:description>
  <cp:lastModifiedBy>Stacey Nicchio</cp:lastModifiedBy>
  <cp:revision>2</cp:revision>
  <cp:lastPrinted>2003-11-26T17:21:00Z</cp:lastPrinted>
  <dcterms:created xsi:type="dcterms:W3CDTF">2021-04-26T16:58:00Z</dcterms:created>
  <dcterms:modified xsi:type="dcterms:W3CDTF">2021-04-26T16:58:00Z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21.112.1448</vt:lpwstr>
  </property>
</Properties>
</file>