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0480B" w14:paraId="2D119996" w14:textId="77777777" w:rsidTr="00345119">
        <w:tc>
          <w:tcPr>
            <w:tcW w:w="9576" w:type="dxa"/>
            <w:noWrap/>
          </w:tcPr>
          <w:p w14:paraId="3F4AA10F" w14:textId="77777777" w:rsidR="008423E4" w:rsidRPr="0022177D" w:rsidRDefault="001633AD" w:rsidP="00C9534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73DE0DE" w14:textId="77777777" w:rsidR="008423E4" w:rsidRPr="0022177D" w:rsidRDefault="008423E4" w:rsidP="00C95342">
      <w:pPr>
        <w:jc w:val="center"/>
      </w:pPr>
    </w:p>
    <w:p w14:paraId="3BE8622A" w14:textId="77777777" w:rsidR="008423E4" w:rsidRPr="00B31F0E" w:rsidRDefault="008423E4" w:rsidP="00C95342"/>
    <w:p w14:paraId="5D0AC3F7" w14:textId="77777777" w:rsidR="008423E4" w:rsidRPr="00742794" w:rsidRDefault="008423E4" w:rsidP="00C9534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480B" w14:paraId="62E1EF65" w14:textId="77777777" w:rsidTr="00345119">
        <w:tc>
          <w:tcPr>
            <w:tcW w:w="9576" w:type="dxa"/>
          </w:tcPr>
          <w:p w14:paraId="010CCB5A" w14:textId="198C410D" w:rsidR="008423E4" w:rsidRPr="00861995" w:rsidRDefault="001633AD" w:rsidP="00C95342">
            <w:pPr>
              <w:jc w:val="right"/>
            </w:pPr>
            <w:r>
              <w:t>C.S.H.B. 3113</w:t>
            </w:r>
          </w:p>
        </w:tc>
      </w:tr>
      <w:tr w:rsidR="00A0480B" w14:paraId="5F741B8E" w14:textId="77777777" w:rsidTr="00345119">
        <w:tc>
          <w:tcPr>
            <w:tcW w:w="9576" w:type="dxa"/>
          </w:tcPr>
          <w:p w14:paraId="10A9DC46" w14:textId="1A24E8B6" w:rsidR="008423E4" w:rsidRPr="00861995" w:rsidRDefault="001633AD" w:rsidP="00C95342">
            <w:pPr>
              <w:jc w:val="right"/>
            </w:pPr>
            <w:r>
              <w:t xml:space="preserve">By: </w:t>
            </w:r>
            <w:r w:rsidR="004A214C">
              <w:t>Thompson, Ed</w:t>
            </w:r>
          </w:p>
        </w:tc>
      </w:tr>
      <w:tr w:rsidR="00A0480B" w14:paraId="597B14FF" w14:textId="77777777" w:rsidTr="00345119">
        <w:tc>
          <w:tcPr>
            <w:tcW w:w="9576" w:type="dxa"/>
          </w:tcPr>
          <w:p w14:paraId="04520449" w14:textId="1C2453D4" w:rsidR="008423E4" w:rsidRPr="00861995" w:rsidRDefault="001633AD" w:rsidP="00C95342">
            <w:pPr>
              <w:jc w:val="right"/>
            </w:pPr>
            <w:r>
              <w:t>Transportation</w:t>
            </w:r>
          </w:p>
        </w:tc>
      </w:tr>
      <w:tr w:rsidR="00A0480B" w14:paraId="1F721B77" w14:textId="77777777" w:rsidTr="00345119">
        <w:tc>
          <w:tcPr>
            <w:tcW w:w="9576" w:type="dxa"/>
          </w:tcPr>
          <w:p w14:paraId="61E1687B" w14:textId="0A661FBB" w:rsidR="008423E4" w:rsidRDefault="001633AD" w:rsidP="00C95342">
            <w:pPr>
              <w:jc w:val="right"/>
            </w:pPr>
            <w:r>
              <w:t>Committee Report (Substituted)</w:t>
            </w:r>
          </w:p>
        </w:tc>
      </w:tr>
    </w:tbl>
    <w:p w14:paraId="77946378" w14:textId="77777777" w:rsidR="008423E4" w:rsidRDefault="008423E4" w:rsidP="00C95342">
      <w:pPr>
        <w:tabs>
          <w:tab w:val="right" w:pos="9360"/>
        </w:tabs>
      </w:pPr>
    </w:p>
    <w:p w14:paraId="12B8D820" w14:textId="77777777" w:rsidR="008423E4" w:rsidRDefault="008423E4" w:rsidP="00C95342"/>
    <w:p w14:paraId="5847FBE5" w14:textId="77777777" w:rsidR="008423E4" w:rsidRDefault="008423E4" w:rsidP="00C9534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0480B" w14:paraId="18AF8A2A" w14:textId="77777777" w:rsidTr="00C95342">
        <w:tc>
          <w:tcPr>
            <w:tcW w:w="9360" w:type="dxa"/>
          </w:tcPr>
          <w:p w14:paraId="5C9769D7" w14:textId="77777777" w:rsidR="008423E4" w:rsidRPr="00A8133F" w:rsidRDefault="001633AD" w:rsidP="00C953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C43B4B" w14:textId="77777777" w:rsidR="008423E4" w:rsidRDefault="008423E4" w:rsidP="00C95342"/>
          <w:p w14:paraId="26781EC3" w14:textId="23F5E823" w:rsidR="004A214C" w:rsidRDefault="001633AD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</w:t>
            </w:r>
            <w:r w:rsidRPr="004A214C">
              <w:t>otor vehicle dealers are</w:t>
            </w:r>
            <w:r>
              <w:t xml:space="preserve"> typically</w:t>
            </w:r>
            <w:r w:rsidRPr="004A214C">
              <w:t xml:space="preserve"> required to title and register </w:t>
            </w:r>
            <w:r>
              <w:t xml:space="preserve">a purchased vehicle </w:t>
            </w:r>
            <w:r w:rsidRPr="004A214C">
              <w:t xml:space="preserve">in the name of the purchaser. </w:t>
            </w:r>
            <w:r>
              <w:t xml:space="preserve">Currently, </w:t>
            </w:r>
            <w:r>
              <w:t>a</w:t>
            </w:r>
            <w:r w:rsidRPr="004A214C">
              <w:t xml:space="preserve"> dealer must apply for title and registration in the county in which the owner is domiciled or in which the motor vehicle is purchased or encumbered. If the tax assessor</w:t>
            </w:r>
            <w:r w:rsidR="009B538D">
              <w:t>-</w:t>
            </w:r>
            <w:r w:rsidRPr="004A214C">
              <w:t>collector</w:t>
            </w:r>
            <w:r w:rsidR="000670EB">
              <w:t>'</w:t>
            </w:r>
            <w:r w:rsidRPr="004A214C">
              <w:t>s office is closed in the county in which the owner resides, the dealer may</w:t>
            </w:r>
            <w:r w:rsidRPr="004A214C">
              <w:t xml:space="preserve"> apply for title and registration in any county willing to accept the application.</w:t>
            </w:r>
            <w:r>
              <w:t xml:space="preserve"> </w:t>
            </w:r>
            <w:r w:rsidRPr="004A214C">
              <w:t xml:space="preserve">During the COVID-19 </w:t>
            </w:r>
            <w:r w:rsidR="006948C6">
              <w:t>p</w:t>
            </w:r>
            <w:r w:rsidRPr="004A214C">
              <w:t>andemic</w:t>
            </w:r>
            <w:r>
              <w:t xml:space="preserve">, </w:t>
            </w:r>
            <w:r w:rsidR="00A93BD4">
              <w:t>when</w:t>
            </w:r>
            <w:r>
              <w:t xml:space="preserve"> certain</w:t>
            </w:r>
            <w:r w:rsidRPr="004A214C">
              <w:t xml:space="preserve"> motor vehicle registration timing requirements</w:t>
            </w:r>
            <w:r>
              <w:t xml:space="preserve"> were waived</w:t>
            </w:r>
            <w:r w:rsidRPr="004A214C">
              <w:t xml:space="preserve">, many </w:t>
            </w:r>
            <w:r w:rsidR="009832E5">
              <w:t xml:space="preserve">offices of </w:t>
            </w:r>
            <w:r w:rsidRPr="004A214C">
              <w:t>tax assessor-collectors were closed for extended perio</w:t>
            </w:r>
            <w:r w:rsidRPr="004A214C">
              <w:t>ds of time. M</w:t>
            </w:r>
            <w:r w:rsidR="00A93BD4">
              <w:t>eanwhile, m</w:t>
            </w:r>
            <w:r w:rsidRPr="004A214C">
              <w:t xml:space="preserve">otor vehicle dealers were only able to use the flexibility provisions </w:t>
            </w:r>
            <w:r w:rsidR="00A93BD4">
              <w:t xml:space="preserve">available </w:t>
            </w:r>
            <w:r w:rsidRPr="004A214C">
              <w:t xml:space="preserve">in current law to get their transactions completed and receive funding from the lienholder. When </w:t>
            </w:r>
            <w:r w:rsidR="009832E5">
              <w:t xml:space="preserve">the offices of </w:t>
            </w:r>
            <w:r w:rsidR="009B538D">
              <w:t>county assessor-collector</w:t>
            </w:r>
            <w:r w:rsidR="000670EB">
              <w:t>s</w:t>
            </w:r>
            <w:r w:rsidR="009B538D">
              <w:t xml:space="preserve"> </w:t>
            </w:r>
            <w:r w:rsidRPr="004A214C">
              <w:t>reopened, the</w:t>
            </w:r>
            <w:r w:rsidRPr="004A214C">
              <w:t xml:space="preserve">re was a significant backlog of transactions in various counties, and dealers were subsequently limited in </w:t>
            </w:r>
            <w:r w:rsidR="00D3383B">
              <w:t>processing</w:t>
            </w:r>
            <w:r w:rsidR="00D3383B" w:rsidRPr="004A214C">
              <w:t xml:space="preserve"> </w:t>
            </w:r>
            <w:r w:rsidRPr="004A214C">
              <w:t>their transactions in a timely fashion.</w:t>
            </w:r>
            <w:r w:rsidR="00D3383B">
              <w:t xml:space="preserve"> Given that m</w:t>
            </w:r>
            <w:r w:rsidRPr="004A214C">
              <w:t>otor vehicle dealers are looking for continued flexibility and efficiency in titling a</w:t>
            </w:r>
            <w:r w:rsidRPr="004A214C">
              <w:t>nd registering sold motor vehicles</w:t>
            </w:r>
            <w:r w:rsidR="00D3383B">
              <w:t xml:space="preserve">, there have been calls to </w:t>
            </w:r>
            <w:r w:rsidRPr="004A214C">
              <w:t>allow dealer</w:t>
            </w:r>
            <w:r w:rsidR="00D3383B">
              <w:t>s</w:t>
            </w:r>
            <w:r w:rsidRPr="004A214C">
              <w:t xml:space="preserve"> the </w:t>
            </w:r>
            <w:r w:rsidR="00A93BD4">
              <w:t xml:space="preserve">permanent </w:t>
            </w:r>
            <w:r w:rsidRPr="004A214C">
              <w:t xml:space="preserve">option to title and register </w:t>
            </w:r>
            <w:r w:rsidR="00981EF9">
              <w:t xml:space="preserve">vehicles </w:t>
            </w:r>
            <w:r w:rsidRPr="004A214C">
              <w:t xml:space="preserve">in any county willing to accept the application. </w:t>
            </w:r>
            <w:r w:rsidR="00D3383B">
              <w:t>C.S.</w:t>
            </w:r>
            <w:r w:rsidRPr="004A214C">
              <w:t>H</w:t>
            </w:r>
            <w:r w:rsidR="00D3383B">
              <w:t>.</w:t>
            </w:r>
            <w:r w:rsidRPr="004A214C">
              <w:t>B</w:t>
            </w:r>
            <w:r w:rsidR="00D3383B">
              <w:t>.</w:t>
            </w:r>
            <w:r w:rsidRPr="004A214C">
              <w:t xml:space="preserve"> 3113</w:t>
            </w:r>
            <w:r w:rsidR="00D3383B">
              <w:t xml:space="preserve"> seeks to address this issue by providing for </w:t>
            </w:r>
            <w:r w:rsidR="009B538D">
              <w:t>such an</w:t>
            </w:r>
            <w:r w:rsidR="00D3383B">
              <w:t xml:space="preserve"> option</w:t>
            </w:r>
            <w:r w:rsidRPr="004A214C">
              <w:t xml:space="preserve">.  </w:t>
            </w:r>
          </w:p>
          <w:p w14:paraId="2FF6588B" w14:textId="77777777" w:rsidR="008423E4" w:rsidRPr="00E26B13" w:rsidRDefault="008423E4" w:rsidP="00C95342">
            <w:pPr>
              <w:rPr>
                <w:b/>
              </w:rPr>
            </w:pPr>
          </w:p>
        </w:tc>
      </w:tr>
      <w:tr w:rsidR="00A0480B" w14:paraId="4461D5CD" w14:textId="77777777" w:rsidTr="00C95342">
        <w:tc>
          <w:tcPr>
            <w:tcW w:w="9360" w:type="dxa"/>
          </w:tcPr>
          <w:p w14:paraId="2154338B" w14:textId="77777777" w:rsidR="0017725B" w:rsidRDefault="001633AD" w:rsidP="00C953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4A1D82" w14:textId="77777777" w:rsidR="0017725B" w:rsidRDefault="0017725B" w:rsidP="00C95342">
            <w:pPr>
              <w:rPr>
                <w:b/>
                <w:u w:val="single"/>
              </w:rPr>
            </w:pPr>
          </w:p>
          <w:p w14:paraId="545ADF0A" w14:textId="77777777" w:rsidR="00802386" w:rsidRPr="00802386" w:rsidRDefault="001633AD" w:rsidP="00C9534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3D2B622B" w14:textId="77777777" w:rsidR="0017725B" w:rsidRPr="0017725B" w:rsidRDefault="0017725B" w:rsidP="00C95342">
            <w:pPr>
              <w:rPr>
                <w:b/>
                <w:u w:val="single"/>
              </w:rPr>
            </w:pPr>
          </w:p>
        </w:tc>
      </w:tr>
      <w:tr w:rsidR="00A0480B" w14:paraId="61376BCD" w14:textId="77777777" w:rsidTr="00C95342">
        <w:tc>
          <w:tcPr>
            <w:tcW w:w="9360" w:type="dxa"/>
          </w:tcPr>
          <w:p w14:paraId="7853EC91" w14:textId="77777777" w:rsidR="008423E4" w:rsidRPr="00A8133F" w:rsidRDefault="001633AD" w:rsidP="00C953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A76160" w14:textId="77777777" w:rsidR="008423E4" w:rsidRDefault="008423E4" w:rsidP="00C95342"/>
          <w:p w14:paraId="1E4F6C87" w14:textId="77777777" w:rsidR="00802386" w:rsidRDefault="001633AD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80349E9" w14:textId="77777777" w:rsidR="008423E4" w:rsidRPr="00E21FDC" w:rsidRDefault="008423E4" w:rsidP="00C95342">
            <w:pPr>
              <w:rPr>
                <w:b/>
              </w:rPr>
            </w:pPr>
          </w:p>
        </w:tc>
      </w:tr>
      <w:tr w:rsidR="00A0480B" w14:paraId="4679BC19" w14:textId="77777777" w:rsidTr="00C95342">
        <w:tc>
          <w:tcPr>
            <w:tcW w:w="9360" w:type="dxa"/>
          </w:tcPr>
          <w:p w14:paraId="262F707D" w14:textId="77777777" w:rsidR="008423E4" w:rsidRPr="00A8133F" w:rsidRDefault="001633AD" w:rsidP="00C953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FB3D29" w14:textId="77777777" w:rsidR="008423E4" w:rsidRDefault="008423E4" w:rsidP="00C95342"/>
          <w:p w14:paraId="7AAD6A07" w14:textId="66827F57" w:rsidR="005F66B2" w:rsidRDefault="001633AD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85237">
              <w:t>H.B. 3113 amends the Transportation Code to</w:t>
            </w:r>
            <w:r>
              <w:t xml:space="preserve"> authorize the foll</w:t>
            </w:r>
            <w:r w:rsidR="00575E2D">
              <w:t>owing entities to apply for a motor vehicle title</w:t>
            </w:r>
            <w:r w:rsidR="009D564C">
              <w:t xml:space="preserve"> or registration, as applicable,</w:t>
            </w:r>
            <w:r w:rsidR="00575E2D">
              <w:t xml:space="preserve"> to any county assessor-collector who is willing to accept the application:</w:t>
            </w:r>
          </w:p>
          <w:p w14:paraId="3A33D29F" w14:textId="4367EB51" w:rsidR="00575E2D" w:rsidRDefault="001633AD" w:rsidP="00C9534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75E2D">
              <w:t>the owner of a motor vehicle</w:t>
            </w:r>
            <w:r>
              <w:t>;</w:t>
            </w:r>
          </w:p>
          <w:p w14:paraId="04BB5381" w14:textId="264C3936" w:rsidR="00575E2D" w:rsidRDefault="001633AD" w:rsidP="00C9534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75E2D">
              <w:t>the seller of a m</w:t>
            </w:r>
            <w:r w:rsidRPr="00575E2D">
              <w:t>otor vehicle who applies for the registration or title at the first or subsequent sale of the vehicle and holds a general distinguishing number</w:t>
            </w:r>
            <w:r>
              <w:t>;</w:t>
            </w:r>
            <w:r w:rsidR="009D564C">
              <w:t xml:space="preserve"> and</w:t>
            </w:r>
          </w:p>
          <w:p w14:paraId="75A8D1B7" w14:textId="29B99856" w:rsidR="004B08D0" w:rsidRDefault="001633AD" w:rsidP="00C9534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owner of a motor vehicle brought into Texas by a person other than a manufacturer or importer</w:t>
            </w:r>
            <w:r w:rsidR="005B2C60">
              <w:t>, before the vehicle is</w:t>
            </w:r>
            <w:r>
              <w:t xml:space="preserve"> </w:t>
            </w:r>
            <w:r w:rsidR="005B2C60">
              <w:t xml:space="preserve">encumbered by a lien or </w:t>
            </w:r>
            <w:r>
              <w:t>bargained, sold, transferred, or delivered with an intent to pas</w:t>
            </w:r>
            <w:r w:rsidR="009D564C">
              <w:t>s</w:t>
            </w:r>
            <w:r>
              <w:t xml:space="preserve"> an interest in the </w:t>
            </w:r>
            <w:r w:rsidR="009D564C">
              <w:t>vehicle.</w:t>
            </w:r>
          </w:p>
          <w:p w14:paraId="73D74236" w14:textId="3F049191" w:rsidR="004B08D0" w:rsidRDefault="004B08D0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514257" w14:textId="31064094" w:rsidR="004B08D0" w:rsidRDefault="001633AD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3113 requires a system of extended registration of commercial fleet vehicles</w:t>
            </w:r>
            <w:r w:rsidR="0037747E">
              <w:t xml:space="preserve"> to allow the owner of a commercial fleet to register an entire commercial fleet in any county in which the county assessor-collector is willing to accept the registration. The bill authorizes a vehicle registration application to be made in a manner prescribed by the Texas Department of Motor Vehicles </w:t>
            </w:r>
            <w:r w:rsidR="005C79D5">
              <w:t xml:space="preserve">(TxDMV) </w:t>
            </w:r>
            <w:r w:rsidR="0037747E">
              <w:t>through any county assessor-collector who is willing to accept the application and authorizes the owner to concurrently apply for a title and for initial vehicle registration through such a county assessor-collector.</w:t>
            </w:r>
          </w:p>
          <w:p w14:paraId="59748A75" w14:textId="6651994B" w:rsidR="0037747E" w:rsidRDefault="0037747E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72CC74" w14:textId="74FEB70B" w:rsidR="0037747E" w:rsidRDefault="001633AD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3113 revises t</w:t>
            </w:r>
            <w:r w:rsidR="005C79D5">
              <w:t>he manner in which a county assessor-collector may collect and retain certain vehicle titling and registration fees by doing the following:</w:t>
            </w:r>
          </w:p>
          <w:p w14:paraId="1320E524" w14:textId="5015EEB6" w:rsidR="005C79D5" w:rsidRDefault="001633AD" w:rsidP="00C9534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requiring a county assessor-collector collecting fees on behalf of another </w:t>
            </w:r>
            <w:r>
              <w:t>county assesso</w:t>
            </w:r>
            <w:r w:rsidR="009D564C">
              <w:t>r</w:t>
            </w:r>
            <w:r>
              <w:t>-collector for purposes of a vehicle title or registration</w:t>
            </w:r>
            <w:r w:rsidR="007A7BCD">
              <w:t xml:space="preserve"> application</w:t>
            </w:r>
            <w:r>
              <w:t xml:space="preserve"> under the bill's provisions to collect all taxes, fees, and other revenue based on the vehicle owner's county of residence;</w:t>
            </w:r>
          </w:p>
          <w:p w14:paraId="362ACE38" w14:textId="134C52A9" w:rsidR="005C79D5" w:rsidRDefault="001633AD" w:rsidP="00C9534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designating the vehicle owner's county of resi</w:t>
            </w:r>
            <w:r>
              <w:t>dence as the recipient of all taxes, fees, and other revenue collected as a result of the transaction; and</w:t>
            </w:r>
          </w:p>
          <w:p w14:paraId="2427C2FF" w14:textId="68F55B87" w:rsidR="005C79D5" w:rsidRDefault="001633AD" w:rsidP="00C9534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authorizing the county processing the application to retain certain portions of the title application fee and the processing and handling fee.</w:t>
            </w:r>
          </w:p>
          <w:p w14:paraId="61026EB1" w14:textId="77777777" w:rsidR="005F66B2" w:rsidRDefault="005F66B2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5507C9" w14:textId="75FAECF7" w:rsidR="00CB5DBE" w:rsidRDefault="001633AD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</w:t>
            </w:r>
            <w:r>
              <w:t>.B. 3113</w:t>
            </w:r>
            <w:r w:rsidR="00DD6C02">
              <w:t xml:space="preserve"> repeals the </w:t>
            </w:r>
            <w:r>
              <w:t>following requirements:</w:t>
            </w:r>
          </w:p>
          <w:p w14:paraId="2545D8F0" w14:textId="5B576D35" w:rsidR="00CB5DBE" w:rsidRDefault="001633AD" w:rsidP="00C9534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requirement for a title application electronically submitted to TxDMV to request the purchaser's choice of county as the recipient of all taxes, fees, and other revenue collected</w:t>
            </w:r>
            <w:r w:rsidR="009D564C">
              <w:t xml:space="preserve"> as a result of the transaction; and</w:t>
            </w:r>
          </w:p>
          <w:p w14:paraId="356607E4" w14:textId="5C6983E3" w:rsidR="00DD6C02" w:rsidRDefault="001633AD" w:rsidP="00C9534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requirement for </w:t>
            </w:r>
            <w:r w:rsidR="005C79D5">
              <w:t>TxDMV</w:t>
            </w:r>
            <w:r>
              <w:t xml:space="preserve"> to develop</w:t>
            </w:r>
            <w:r w:rsidR="00A04DDC">
              <w:t>, and for certain sellers to make available to a purchaser of a motor vehicle,</w:t>
            </w:r>
            <w:r>
              <w:t xml:space="preserve"> a form or electronic process in which the purchaser must designate the purchaser's choice</w:t>
            </w:r>
            <w:r w:rsidR="00250A3B">
              <w:t xml:space="preserve"> of the county with which the title application </w:t>
            </w:r>
            <w:r w:rsidR="00934863">
              <w:t>will be</w:t>
            </w:r>
            <w:r w:rsidR="00250A3B">
              <w:t xml:space="preserve"> filed.</w:t>
            </w:r>
          </w:p>
          <w:p w14:paraId="26497FEF" w14:textId="77777777" w:rsidR="00DD6C02" w:rsidRDefault="00DD6C02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DE883A5" w14:textId="77777777" w:rsidR="008423E4" w:rsidRDefault="001633AD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 w:rsidR="00DD6C02">
              <w:t>H.B. 3113 repeals Section</w:t>
            </w:r>
            <w:r w:rsidR="005C79D5">
              <w:t>s 501.023(e) and</w:t>
            </w:r>
            <w:r w:rsidR="00DD6C02">
              <w:t xml:space="preserve"> 501.0234(e), Transportation Code.</w:t>
            </w:r>
            <w:r w:rsidR="00DD6C02" w:rsidRPr="00835628">
              <w:rPr>
                <w:b/>
              </w:rPr>
              <w:t xml:space="preserve"> </w:t>
            </w:r>
          </w:p>
          <w:p w14:paraId="6CBDBFF3" w14:textId="41E37411" w:rsidR="006F6158" w:rsidRPr="00835628" w:rsidRDefault="006F6158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0480B" w14:paraId="5D93B8F3" w14:textId="77777777" w:rsidTr="00C95342">
        <w:tc>
          <w:tcPr>
            <w:tcW w:w="9360" w:type="dxa"/>
          </w:tcPr>
          <w:p w14:paraId="4731D76F" w14:textId="77777777" w:rsidR="008423E4" w:rsidRPr="00A8133F" w:rsidRDefault="001633AD" w:rsidP="00C953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E229AAF" w14:textId="77777777" w:rsidR="008423E4" w:rsidRDefault="008423E4" w:rsidP="00C95342"/>
          <w:p w14:paraId="709511D9" w14:textId="77777777" w:rsidR="008423E4" w:rsidRPr="003624F2" w:rsidRDefault="001633AD" w:rsidP="00C953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1DAAFB7" w14:textId="77777777" w:rsidR="008423E4" w:rsidRPr="00233FDB" w:rsidRDefault="008423E4" w:rsidP="00C95342">
            <w:pPr>
              <w:rPr>
                <w:b/>
              </w:rPr>
            </w:pPr>
          </w:p>
        </w:tc>
      </w:tr>
      <w:tr w:rsidR="00A0480B" w14:paraId="51F3995F" w14:textId="77777777" w:rsidTr="00C95342">
        <w:tc>
          <w:tcPr>
            <w:tcW w:w="9360" w:type="dxa"/>
          </w:tcPr>
          <w:p w14:paraId="4A18E6A0" w14:textId="77777777" w:rsidR="004A214C" w:rsidRDefault="001633AD" w:rsidP="00C9534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B2FADE8" w14:textId="77777777" w:rsidR="00375A91" w:rsidRDefault="00375A91" w:rsidP="00C95342">
            <w:pPr>
              <w:jc w:val="both"/>
            </w:pPr>
          </w:p>
          <w:p w14:paraId="7BF3C6D4" w14:textId="0C015DC6" w:rsidR="00375A91" w:rsidRDefault="001633AD" w:rsidP="00C95342">
            <w:pPr>
              <w:jc w:val="both"/>
            </w:pPr>
            <w:r>
              <w:t xml:space="preserve">While C.S.H.B. 3113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14:paraId="2B772543" w14:textId="2CE62D83" w:rsidR="00375A91" w:rsidRDefault="00375A91" w:rsidP="00C95342">
            <w:pPr>
              <w:jc w:val="both"/>
            </w:pPr>
          </w:p>
          <w:p w14:paraId="156CD0D6" w14:textId="3A4ED874" w:rsidR="00375A91" w:rsidRDefault="001633AD" w:rsidP="00C95342">
            <w:pPr>
              <w:jc w:val="both"/>
            </w:pPr>
            <w:r>
              <w:t>The substitute</w:t>
            </w:r>
            <w:r w:rsidR="009D564C">
              <w:t xml:space="preserve"> includes the following provisions absent from the original:</w:t>
            </w:r>
          </w:p>
          <w:p w14:paraId="072897DB" w14:textId="77777777" w:rsidR="00B61751" w:rsidRDefault="001633AD" w:rsidP="00C953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authorizations for</w:t>
            </w:r>
            <w:r w:rsidRPr="00AA74A9">
              <w:t xml:space="preserve"> </w:t>
            </w:r>
            <w:r>
              <w:t>the following transactions to be</w:t>
            </w:r>
            <w:r>
              <w:t xml:space="preserve"> conducted through </w:t>
            </w:r>
            <w:r w:rsidRPr="00AA74A9">
              <w:t>any county assessor-collector willing to accept the application</w:t>
            </w:r>
            <w:r>
              <w:t xml:space="preserve">: </w:t>
            </w:r>
          </w:p>
          <w:p w14:paraId="7DD2B1F4" w14:textId="69462F3E" w:rsidR="009D564C" w:rsidRDefault="001633AD" w:rsidP="00C95342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applications</w:t>
            </w:r>
            <w:r w:rsidR="00AA74A9" w:rsidRPr="00AA74A9">
              <w:t xml:space="preserve"> for a motor vehicle title or registration, as applicable, </w:t>
            </w:r>
            <w:r>
              <w:t>by certain entities</w:t>
            </w:r>
            <w:r w:rsidR="00C41748">
              <w:t xml:space="preserve"> </w:t>
            </w:r>
            <w:r w:rsidR="005D3D90">
              <w:t xml:space="preserve">in addition to </w:t>
            </w:r>
            <w:r>
              <w:t>the category of</w:t>
            </w:r>
            <w:r w:rsidR="005D3D90">
              <w:t xml:space="preserve"> </w:t>
            </w:r>
            <w:r w:rsidR="005D3D90" w:rsidRPr="002467EA">
              <w:t>seller</w:t>
            </w:r>
            <w:r w:rsidR="005D3D90">
              <w:t>s</w:t>
            </w:r>
            <w:r w:rsidR="005D3D90" w:rsidRPr="002467EA">
              <w:t xml:space="preserve"> </w:t>
            </w:r>
            <w:r w:rsidR="005D3D90">
              <w:t>who were authorized by the original to apply in that manner</w:t>
            </w:r>
            <w:r w:rsidR="00AA74A9">
              <w:t>;</w:t>
            </w:r>
          </w:p>
          <w:p w14:paraId="5322E100" w14:textId="66194318" w:rsidR="00AA74A9" w:rsidRDefault="001633AD" w:rsidP="00C95342">
            <w:pPr>
              <w:pStyle w:val="ListParagraph"/>
              <w:numPr>
                <w:ilvl w:val="1"/>
                <w:numId w:val="4"/>
              </w:numPr>
              <w:jc w:val="both"/>
            </w:pPr>
            <w:r w:rsidRPr="00AA74A9">
              <w:t xml:space="preserve">the </w:t>
            </w:r>
            <w:r w:rsidR="005D3D90">
              <w:t>registration of</w:t>
            </w:r>
            <w:r w:rsidRPr="00AA74A9">
              <w:t xml:space="preserve"> an entire commercial fleet</w:t>
            </w:r>
            <w:r w:rsidR="006948C6">
              <w:t>, under</w:t>
            </w:r>
            <w:r w:rsidRPr="00AA74A9">
              <w:t xml:space="preserve"> </w:t>
            </w:r>
            <w:r w:rsidR="006948C6" w:rsidRPr="00AA74A9">
              <w:t>a system of extended registration of commercial fleet vehicles</w:t>
            </w:r>
            <w:r>
              <w:t>;</w:t>
            </w:r>
            <w:r w:rsidR="006948C6">
              <w:t xml:space="preserve"> and</w:t>
            </w:r>
          </w:p>
          <w:p w14:paraId="12E3BB12" w14:textId="722FDBD6" w:rsidR="00AA74A9" w:rsidRDefault="001633AD" w:rsidP="00C95342">
            <w:pPr>
              <w:pStyle w:val="ListParagraph"/>
              <w:numPr>
                <w:ilvl w:val="1"/>
                <w:numId w:val="4"/>
              </w:numPr>
              <w:jc w:val="both"/>
            </w:pPr>
            <w:r w:rsidRPr="00AA74A9">
              <w:t>a</w:t>
            </w:r>
            <w:r w:rsidR="00AA3052">
              <w:t>n owner's</w:t>
            </w:r>
            <w:r w:rsidRPr="00AA74A9">
              <w:t xml:space="preserve"> vehicle registration application</w:t>
            </w:r>
            <w:r w:rsidR="00AA3052">
              <w:t xml:space="preserve"> or concurrent application for title and initial vehicle registration</w:t>
            </w:r>
            <w:r>
              <w:t>;</w:t>
            </w:r>
            <w:r w:rsidR="006948C6">
              <w:t xml:space="preserve"> </w:t>
            </w:r>
          </w:p>
          <w:p w14:paraId="31982CE8" w14:textId="74436797" w:rsidR="00AA74A9" w:rsidRDefault="001633AD" w:rsidP="00C953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provisions revising t</w:t>
            </w:r>
            <w:r w:rsidRPr="00AA74A9">
              <w:t>he manner in which a county assessor-collector</w:t>
            </w:r>
            <w:r w:rsidR="00C77D36">
              <w:t xml:space="preserve"> collecting fees on behalf of another county assessor-collector</w:t>
            </w:r>
            <w:r w:rsidRPr="00AA74A9">
              <w:t xml:space="preserve"> </w:t>
            </w:r>
            <w:r w:rsidR="00C77D36">
              <w:t xml:space="preserve">is </w:t>
            </w:r>
            <w:r w:rsidR="006948C6">
              <w:t xml:space="preserve">required </w:t>
            </w:r>
            <w:r w:rsidR="00C77D36">
              <w:t>to</w:t>
            </w:r>
            <w:r w:rsidR="00C77D36" w:rsidRPr="00AA74A9">
              <w:t xml:space="preserve"> </w:t>
            </w:r>
            <w:r w:rsidR="00327CE3">
              <w:t>allocate certain components of the fees received</w:t>
            </w:r>
            <w:r>
              <w:t>; and</w:t>
            </w:r>
          </w:p>
          <w:p w14:paraId="237FDAB1" w14:textId="58E9EEFC" w:rsidR="00AA74A9" w:rsidRDefault="001633AD" w:rsidP="00C953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a repeal of the </w:t>
            </w:r>
            <w:r w:rsidRPr="00AA74A9">
              <w:t>requirement for a title application ele</w:t>
            </w:r>
            <w:r w:rsidRPr="00AA74A9">
              <w:t>ctronically submitted to TxDMV to request the purchaser's choice of county as the recipient of revenue collected as a result of the transaction</w:t>
            </w:r>
            <w:r>
              <w:t>.</w:t>
            </w:r>
          </w:p>
          <w:p w14:paraId="1FDF3B53" w14:textId="39FFDE8A" w:rsidR="00375A91" w:rsidRPr="00375A91" w:rsidRDefault="00375A91" w:rsidP="00C95342">
            <w:pPr>
              <w:jc w:val="both"/>
            </w:pPr>
          </w:p>
        </w:tc>
      </w:tr>
      <w:tr w:rsidR="00A0480B" w14:paraId="21D0D965" w14:textId="77777777" w:rsidTr="00C95342">
        <w:tc>
          <w:tcPr>
            <w:tcW w:w="9360" w:type="dxa"/>
          </w:tcPr>
          <w:p w14:paraId="411A1CD4" w14:textId="77777777" w:rsidR="004A214C" w:rsidRPr="004A214C" w:rsidRDefault="004A214C" w:rsidP="00C95342">
            <w:pPr>
              <w:jc w:val="both"/>
            </w:pPr>
          </w:p>
        </w:tc>
      </w:tr>
    </w:tbl>
    <w:p w14:paraId="072B2855" w14:textId="77777777" w:rsidR="008423E4" w:rsidRPr="00BE0E75" w:rsidRDefault="008423E4" w:rsidP="00C95342">
      <w:pPr>
        <w:jc w:val="both"/>
        <w:rPr>
          <w:rFonts w:ascii="Arial" w:hAnsi="Arial"/>
          <w:sz w:val="16"/>
          <w:szCs w:val="16"/>
        </w:rPr>
      </w:pPr>
    </w:p>
    <w:p w14:paraId="1DB7077E" w14:textId="77777777" w:rsidR="004108C3" w:rsidRPr="008423E4" w:rsidRDefault="004108C3" w:rsidP="00C9534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3965" w14:textId="77777777" w:rsidR="00000000" w:rsidRDefault="001633AD">
      <w:r>
        <w:separator/>
      </w:r>
    </w:p>
  </w:endnote>
  <w:endnote w:type="continuationSeparator" w:id="0">
    <w:p w14:paraId="0C53C780" w14:textId="77777777" w:rsidR="00000000" w:rsidRDefault="001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564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480B" w14:paraId="2DCB8BF1" w14:textId="77777777" w:rsidTr="009C1E9A">
      <w:trPr>
        <w:cantSplit/>
      </w:trPr>
      <w:tc>
        <w:tcPr>
          <w:tcW w:w="0" w:type="pct"/>
        </w:tcPr>
        <w:p w14:paraId="525E65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6481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D077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8E3A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6B98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480B" w14:paraId="10693E78" w14:textId="77777777" w:rsidTr="009C1E9A">
      <w:trPr>
        <w:cantSplit/>
      </w:trPr>
      <w:tc>
        <w:tcPr>
          <w:tcW w:w="0" w:type="pct"/>
        </w:tcPr>
        <w:p w14:paraId="74C477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29CA10" w14:textId="2E81FC96" w:rsidR="00EC379B" w:rsidRPr="009C1E9A" w:rsidRDefault="001633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20295</w:t>
          </w:r>
        </w:p>
      </w:tc>
      <w:tc>
        <w:tcPr>
          <w:tcW w:w="2453" w:type="pct"/>
        </w:tcPr>
        <w:p w14:paraId="4E3989D3" w14:textId="4030E19D" w:rsidR="00EC379B" w:rsidRDefault="001633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17411">
            <w:t>21.106.2025</w:t>
          </w:r>
          <w:r>
            <w:fldChar w:fldCharType="end"/>
          </w:r>
        </w:p>
      </w:tc>
    </w:tr>
    <w:tr w:rsidR="00A0480B" w14:paraId="4EC7D070" w14:textId="77777777" w:rsidTr="009C1E9A">
      <w:trPr>
        <w:cantSplit/>
      </w:trPr>
      <w:tc>
        <w:tcPr>
          <w:tcW w:w="0" w:type="pct"/>
        </w:tcPr>
        <w:p w14:paraId="308E3AC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713B61" w14:textId="795A194A" w:rsidR="00EC379B" w:rsidRPr="009C1E9A" w:rsidRDefault="001633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17016</w:t>
          </w:r>
        </w:p>
      </w:tc>
      <w:tc>
        <w:tcPr>
          <w:tcW w:w="2453" w:type="pct"/>
        </w:tcPr>
        <w:p w14:paraId="21FFF1B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E824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480B" w14:paraId="59E8D5E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942BA2" w14:textId="7CC47A33" w:rsidR="00EC379B" w:rsidRDefault="001633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1741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95AC2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63DD9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D6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FB08" w14:textId="77777777" w:rsidR="00000000" w:rsidRDefault="001633AD">
      <w:r>
        <w:separator/>
      </w:r>
    </w:p>
  </w:footnote>
  <w:footnote w:type="continuationSeparator" w:id="0">
    <w:p w14:paraId="40C50F0D" w14:textId="77777777" w:rsidR="00000000" w:rsidRDefault="0016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C26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12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D49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34E"/>
    <w:multiLevelType w:val="hybridMultilevel"/>
    <w:tmpl w:val="FF8A1B60"/>
    <w:lvl w:ilvl="0" w:tplc="F4F2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0B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87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2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C3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4A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C6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0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84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556"/>
    <w:multiLevelType w:val="hybridMultilevel"/>
    <w:tmpl w:val="DD0A889A"/>
    <w:lvl w:ilvl="0" w:tplc="54826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23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C3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6D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8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4F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F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41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A9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7DFF"/>
    <w:multiLevelType w:val="hybridMultilevel"/>
    <w:tmpl w:val="E9B45C56"/>
    <w:lvl w:ilvl="0" w:tplc="477E0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7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0C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8A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03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EC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06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0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CD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0BC5"/>
    <w:multiLevelType w:val="hybridMultilevel"/>
    <w:tmpl w:val="8E54950A"/>
    <w:lvl w:ilvl="0" w:tplc="88440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25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88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65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E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C9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CD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6B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A8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0EB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A0A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7A9"/>
    <w:rsid w:val="00162C7A"/>
    <w:rsid w:val="00162DAE"/>
    <w:rsid w:val="001633AD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11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7EA"/>
    <w:rsid w:val="0024691D"/>
    <w:rsid w:val="00247D27"/>
    <w:rsid w:val="00250A3B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CE3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A91"/>
    <w:rsid w:val="0037747E"/>
    <w:rsid w:val="00377E3D"/>
    <w:rsid w:val="003847E8"/>
    <w:rsid w:val="0038731D"/>
    <w:rsid w:val="00387B60"/>
    <w:rsid w:val="00390098"/>
    <w:rsid w:val="00392106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95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4C"/>
    <w:rsid w:val="004A2172"/>
    <w:rsid w:val="004B08D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6AC"/>
    <w:rsid w:val="00575E2D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C60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9D5"/>
    <w:rsid w:val="005C7CCB"/>
    <w:rsid w:val="005D1444"/>
    <w:rsid w:val="005D25DF"/>
    <w:rsid w:val="005D3D90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6B2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8C6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15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237"/>
    <w:rsid w:val="0078552A"/>
    <w:rsid w:val="00785729"/>
    <w:rsid w:val="00786058"/>
    <w:rsid w:val="00786661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BCD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86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3C74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863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42E"/>
    <w:rsid w:val="00976837"/>
    <w:rsid w:val="00980311"/>
    <w:rsid w:val="0098170E"/>
    <w:rsid w:val="00981EF9"/>
    <w:rsid w:val="0098285C"/>
    <w:rsid w:val="009832E5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38D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64C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80B"/>
    <w:rsid w:val="00A04DDC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F31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3BD4"/>
    <w:rsid w:val="00A95D51"/>
    <w:rsid w:val="00AA18AE"/>
    <w:rsid w:val="00AA228B"/>
    <w:rsid w:val="00AA3052"/>
    <w:rsid w:val="00AA597A"/>
    <w:rsid w:val="00AA74A9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83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751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748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D36"/>
    <w:rsid w:val="00C80B8F"/>
    <w:rsid w:val="00C82743"/>
    <w:rsid w:val="00C834CE"/>
    <w:rsid w:val="00C851F5"/>
    <w:rsid w:val="00C9047F"/>
    <w:rsid w:val="00C91804"/>
    <w:rsid w:val="00C91F65"/>
    <w:rsid w:val="00C92310"/>
    <w:rsid w:val="00C95150"/>
    <w:rsid w:val="00C95342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DBE"/>
    <w:rsid w:val="00CB74CB"/>
    <w:rsid w:val="00CB7E04"/>
    <w:rsid w:val="00CC24B7"/>
    <w:rsid w:val="00CC383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83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BBD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C02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D8D4C2-AE76-415A-B070-50AEB8B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6C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6C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6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6C02"/>
    <w:rPr>
      <w:b/>
      <w:bCs/>
    </w:rPr>
  </w:style>
  <w:style w:type="paragraph" w:styleId="ListParagraph">
    <w:name w:val="List Paragraph"/>
    <w:basedOn w:val="Normal"/>
    <w:uiPriority w:val="34"/>
    <w:qFormat/>
    <w:rsid w:val="009D564C"/>
    <w:pPr>
      <w:ind w:left="720"/>
      <w:contextualSpacing/>
    </w:pPr>
  </w:style>
  <w:style w:type="character" w:styleId="Hyperlink">
    <w:name w:val="Hyperlink"/>
    <w:basedOn w:val="DefaultParagraphFont"/>
    <w:unhideWhenUsed/>
    <w:rsid w:val="00067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5067</Characters>
  <Application>Microsoft Office Word</Application>
  <DocSecurity>4</DocSecurity>
  <Lines>111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HB03113 (Committee Report (Substituted))</vt:lpstr>
    </vt:vector>
  </TitlesOfParts>
  <Company>State of Texas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20295</dc:subject>
  <dc:creator>State of Texas</dc:creator>
  <dc:description>HB 3113 by Thompson, Ed-(H)Transportation (Substitute Document Number: 87R 17016)</dc:description>
  <cp:lastModifiedBy>Thomas Weis</cp:lastModifiedBy>
  <cp:revision>2</cp:revision>
  <cp:lastPrinted>2003-11-26T17:21:00Z</cp:lastPrinted>
  <dcterms:created xsi:type="dcterms:W3CDTF">2021-04-23T22:06:00Z</dcterms:created>
  <dcterms:modified xsi:type="dcterms:W3CDTF">2021-04-23T22:06:00Z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21.106.2025</vt:lpwstr>
  </property>
</Properties>
</file>