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4F4930" w14:paraId="10C91D26" w14:textId="77777777" w:rsidTr="00345119">
        <w:tc>
          <w:tcPr>
            <w:tcW w:w="9576" w:type="dxa"/>
            <w:noWrap/>
          </w:tcPr>
          <w:p w14:paraId="1D6A4440" w14:textId="77777777" w:rsidR="008423E4" w:rsidRPr="0022177D" w:rsidRDefault="00353530" w:rsidP="005E6190">
            <w:pPr>
              <w:pStyle w:val="Heading1"/>
            </w:pPr>
            <w:bookmarkStart w:id="0" w:name="_GoBack"/>
            <w:bookmarkEnd w:id="0"/>
            <w:r w:rsidRPr="00631897">
              <w:t>BILL ANALYSIS</w:t>
            </w:r>
          </w:p>
        </w:tc>
      </w:tr>
    </w:tbl>
    <w:p w14:paraId="0E7002BD" w14:textId="77777777" w:rsidR="008423E4" w:rsidRPr="0022177D" w:rsidRDefault="008423E4" w:rsidP="005E6190">
      <w:pPr>
        <w:jc w:val="center"/>
      </w:pPr>
    </w:p>
    <w:p w14:paraId="7A25CE85" w14:textId="77777777" w:rsidR="008423E4" w:rsidRPr="00B31F0E" w:rsidRDefault="008423E4" w:rsidP="005E6190"/>
    <w:p w14:paraId="1770B78F" w14:textId="77777777" w:rsidR="008423E4" w:rsidRPr="00742794" w:rsidRDefault="008423E4" w:rsidP="005E6190">
      <w:pPr>
        <w:tabs>
          <w:tab w:val="right" w:pos="9360"/>
        </w:tabs>
      </w:pPr>
    </w:p>
    <w:tbl>
      <w:tblPr>
        <w:tblW w:w="0" w:type="auto"/>
        <w:tblLayout w:type="fixed"/>
        <w:tblLook w:val="01E0" w:firstRow="1" w:lastRow="1" w:firstColumn="1" w:lastColumn="1" w:noHBand="0" w:noVBand="0"/>
      </w:tblPr>
      <w:tblGrid>
        <w:gridCol w:w="9576"/>
      </w:tblGrid>
      <w:tr w:rsidR="004F4930" w14:paraId="31203AF5" w14:textId="77777777" w:rsidTr="00345119">
        <w:tc>
          <w:tcPr>
            <w:tcW w:w="9576" w:type="dxa"/>
          </w:tcPr>
          <w:p w14:paraId="5A3EAA83" w14:textId="7BD3FBF2" w:rsidR="008423E4" w:rsidRPr="00861995" w:rsidRDefault="00353530" w:rsidP="005E6190">
            <w:pPr>
              <w:jc w:val="right"/>
            </w:pPr>
            <w:r>
              <w:t>C.S.H.B. 3115</w:t>
            </w:r>
          </w:p>
        </w:tc>
      </w:tr>
      <w:tr w:rsidR="004F4930" w14:paraId="797D57D9" w14:textId="77777777" w:rsidTr="00345119">
        <w:tc>
          <w:tcPr>
            <w:tcW w:w="9576" w:type="dxa"/>
          </w:tcPr>
          <w:p w14:paraId="3C829AE7" w14:textId="6F6475B3" w:rsidR="008423E4" w:rsidRPr="00861995" w:rsidRDefault="00353530" w:rsidP="005E6190">
            <w:pPr>
              <w:jc w:val="right"/>
            </w:pPr>
            <w:r>
              <w:t xml:space="preserve">By: </w:t>
            </w:r>
            <w:r w:rsidR="00C15115">
              <w:t>Shine</w:t>
            </w:r>
          </w:p>
        </w:tc>
      </w:tr>
      <w:tr w:rsidR="004F4930" w14:paraId="0E61F467" w14:textId="77777777" w:rsidTr="00345119">
        <w:tc>
          <w:tcPr>
            <w:tcW w:w="9576" w:type="dxa"/>
          </w:tcPr>
          <w:p w14:paraId="58A0080E" w14:textId="54EBB935" w:rsidR="008423E4" w:rsidRPr="00861995" w:rsidRDefault="00353530" w:rsidP="005E6190">
            <w:pPr>
              <w:jc w:val="right"/>
            </w:pPr>
            <w:r>
              <w:t>Business &amp; Industry</w:t>
            </w:r>
          </w:p>
        </w:tc>
      </w:tr>
      <w:tr w:rsidR="004F4930" w14:paraId="4CA20CC8" w14:textId="77777777" w:rsidTr="00345119">
        <w:tc>
          <w:tcPr>
            <w:tcW w:w="9576" w:type="dxa"/>
          </w:tcPr>
          <w:p w14:paraId="5EE9DBCC" w14:textId="7042FCE6" w:rsidR="008423E4" w:rsidRDefault="00353530" w:rsidP="005E6190">
            <w:pPr>
              <w:jc w:val="right"/>
            </w:pPr>
            <w:r>
              <w:t>Committee Report (Substituted)</w:t>
            </w:r>
          </w:p>
        </w:tc>
      </w:tr>
    </w:tbl>
    <w:p w14:paraId="7FD12F2B" w14:textId="77777777" w:rsidR="008423E4" w:rsidRDefault="008423E4" w:rsidP="005E6190">
      <w:pPr>
        <w:tabs>
          <w:tab w:val="right" w:pos="9360"/>
        </w:tabs>
      </w:pPr>
    </w:p>
    <w:p w14:paraId="170B6EA6" w14:textId="77777777" w:rsidR="008423E4" w:rsidRDefault="008423E4" w:rsidP="005E6190"/>
    <w:p w14:paraId="2CA08AAE" w14:textId="77777777" w:rsidR="008423E4" w:rsidRDefault="008423E4" w:rsidP="005E6190"/>
    <w:tbl>
      <w:tblPr>
        <w:tblW w:w="0" w:type="auto"/>
        <w:tblCellMar>
          <w:left w:w="115" w:type="dxa"/>
          <w:right w:w="115" w:type="dxa"/>
        </w:tblCellMar>
        <w:tblLook w:val="01E0" w:firstRow="1" w:lastRow="1" w:firstColumn="1" w:lastColumn="1" w:noHBand="0" w:noVBand="0"/>
      </w:tblPr>
      <w:tblGrid>
        <w:gridCol w:w="9360"/>
      </w:tblGrid>
      <w:tr w:rsidR="004F4930" w14:paraId="65E58609" w14:textId="77777777" w:rsidTr="00345119">
        <w:tc>
          <w:tcPr>
            <w:tcW w:w="9576" w:type="dxa"/>
          </w:tcPr>
          <w:p w14:paraId="25F50DC7" w14:textId="77777777" w:rsidR="008423E4" w:rsidRPr="00A8133F" w:rsidRDefault="00353530" w:rsidP="005E6190">
            <w:pPr>
              <w:rPr>
                <w:b/>
              </w:rPr>
            </w:pPr>
            <w:r w:rsidRPr="009C1E9A">
              <w:rPr>
                <w:b/>
                <w:u w:val="single"/>
              </w:rPr>
              <w:t>BACKGROUND AND PURPOSE</w:t>
            </w:r>
            <w:r>
              <w:rPr>
                <w:b/>
              </w:rPr>
              <w:t xml:space="preserve"> </w:t>
            </w:r>
          </w:p>
          <w:p w14:paraId="451E5998" w14:textId="77777777" w:rsidR="008423E4" w:rsidRDefault="008423E4" w:rsidP="005E6190"/>
          <w:p w14:paraId="385FEEF1" w14:textId="15EC7BA3" w:rsidR="008423E4" w:rsidRDefault="00353530" w:rsidP="005E6190">
            <w:pPr>
              <w:pStyle w:val="Header"/>
              <w:jc w:val="both"/>
            </w:pPr>
            <w:r>
              <w:t>The Texas Constitution protects a person</w:t>
            </w:r>
            <w:r w:rsidR="00CA5174">
              <w:t>'</w:t>
            </w:r>
            <w:r>
              <w:t>s homestead from being foreclosed on by a judgment lien. However, there can be difficulty</w:t>
            </w:r>
            <w:r>
              <w:t xml:space="preserve"> in identifying what land is a person</w:t>
            </w:r>
            <w:r w:rsidR="00CA5174">
              <w:t>'</w:t>
            </w:r>
            <w:r>
              <w:t xml:space="preserve">s homestead and whether a judgment lien attaches against said property. </w:t>
            </w:r>
            <w:r w:rsidR="00374306">
              <w:t>Nearly 15 years ago</w:t>
            </w:r>
            <w:r>
              <w:t xml:space="preserve">, the </w:t>
            </w:r>
            <w:r w:rsidR="00374306">
              <w:t xml:space="preserve">Texas </w:t>
            </w:r>
            <w:r>
              <w:t xml:space="preserve">Legislature </w:t>
            </w:r>
            <w:r w:rsidR="00374306">
              <w:t>enacted legislation</w:t>
            </w:r>
            <w:r>
              <w:t xml:space="preserve"> to address this problem</w:t>
            </w:r>
            <w:r w:rsidR="00374306">
              <w:t xml:space="preserve"> by allowing a judgment debtor to file an affidavit attesting to the fact that a property is their homestead in order to release the lien from the property</w:t>
            </w:r>
            <w:r>
              <w:t xml:space="preserve">. The </w:t>
            </w:r>
            <w:r w:rsidR="00374306">
              <w:t xml:space="preserve">law </w:t>
            </w:r>
            <w:r>
              <w:t xml:space="preserve">succeeded in creating a method of communication and provided a means for evidence for all parties with potential interest in the property. However, it </w:t>
            </w:r>
            <w:r>
              <w:t>did not establish a period during which parties can rely on the homestead affidavit with certainty.</w:t>
            </w:r>
            <w:r w:rsidR="00374306">
              <w:t xml:space="preserve"> C.S.H.B. 3115 seeks to establish such a period</w:t>
            </w:r>
            <w:r w:rsidR="00F36C92">
              <w:t xml:space="preserve"> in which parties with an interest in the transaction can rely on the affidavit with certainty, while protecting the interests of creditors and their ability to challenge the affidavit both after filing and after the expiration of the established reliance period.</w:t>
            </w:r>
          </w:p>
          <w:p w14:paraId="535E5B68" w14:textId="77777777" w:rsidR="008423E4" w:rsidRPr="00E26B13" w:rsidRDefault="008423E4" w:rsidP="005E6190">
            <w:pPr>
              <w:rPr>
                <w:b/>
              </w:rPr>
            </w:pPr>
          </w:p>
        </w:tc>
      </w:tr>
      <w:tr w:rsidR="004F4930" w14:paraId="2A6FB1D0" w14:textId="77777777" w:rsidTr="00345119">
        <w:tc>
          <w:tcPr>
            <w:tcW w:w="9576" w:type="dxa"/>
          </w:tcPr>
          <w:p w14:paraId="3153FEA2" w14:textId="77777777" w:rsidR="0017725B" w:rsidRDefault="00353530" w:rsidP="005E6190">
            <w:pPr>
              <w:rPr>
                <w:b/>
                <w:u w:val="single"/>
              </w:rPr>
            </w:pPr>
            <w:r>
              <w:rPr>
                <w:b/>
                <w:u w:val="single"/>
              </w:rPr>
              <w:t>CRIMINAL JUSTICE IMPACT</w:t>
            </w:r>
          </w:p>
          <w:p w14:paraId="7E5C4DE3" w14:textId="77777777" w:rsidR="0017725B" w:rsidRDefault="0017725B" w:rsidP="005E6190">
            <w:pPr>
              <w:rPr>
                <w:b/>
                <w:u w:val="single"/>
              </w:rPr>
            </w:pPr>
          </w:p>
          <w:p w14:paraId="3624F0C8" w14:textId="77777777" w:rsidR="00B87AC1" w:rsidRPr="00B87AC1" w:rsidRDefault="00353530" w:rsidP="005E6190">
            <w:pPr>
              <w:jc w:val="both"/>
            </w:pPr>
            <w:r>
              <w:t>It is the committee's opinion that this bill does not expressly create a cr</w:t>
            </w:r>
            <w:r>
              <w:t>iminal offense, increase the punishment for an existing criminal offense or category of offenses, or change the eligibility of a person for community supervision, parole, or mandatory supervision.</w:t>
            </w:r>
          </w:p>
          <w:p w14:paraId="4235F11D" w14:textId="77777777" w:rsidR="0017725B" w:rsidRPr="0017725B" w:rsidRDefault="0017725B" w:rsidP="005E6190">
            <w:pPr>
              <w:rPr>
                <w:b/>
                <w:u w:val="single"/>
              </w:rPr>
            </w:pPr>
          </w:p>
        </w:tc>
      </w:tr>
      <w:tr w:rsidR="004F4930" w14:paraId="7A4D52D0" w14:textId="77777777" w:rsidTr="00345119">
        <w:tc>
          <w:tcPr>
            <w:tcW w:w="9576" w:type="dxa"/>
          </w:tcPr>
          <w:p w14:paraId="1A054EF5" w14:textId="77777777" w:rsidR="008423E4" w:rsidRPr="00A8133F" w:rsidRDefault="00353530" w:rsidP="005E6190">
            <w:pPr>
              <w:rPr>
                <w:b/>
              </w:rPr>
            </w:pPr>
            <w:r w:rsidRPr="009C1E9A">
              <w:rPr>
                <w:b/>
                <w:u w:val="single"/>
              </w:rPr>
              <w:t>RULEMAKING AUTHORITY</w:t>
            </w:r>
            <w:r>
              <w:rPr>
                <w:b/>
              </w:rPr>
              <w:t xml:space="preserve"> </w:t>
            </w:r>
          </w:p>
          <w:p w14:paraId="58B2D10A" w14:textId="77777777" w:rsidR="008423E4" w:rsidRDefault="008423E4" w:rsidP="005E6190"/>
          <w:p w14:paraId="5F0A43C6" w14:textId="77777777" w:rsidR="00B87AC1" w:rsidRDefault="00353530" w:rsidP="005E6190">
            <w:pPr>
              <w:pStyle w:val="Header"/>
              <w:tabs>
                <w:tab w:val="clear" w:pos="4320"/>
                <w:tab w:val="clear" w:pos="8640"/>
              </w:tabs>
              <w:jc w:val="both"/>
            </w:pPr>
            <w:r>
              <w:t>It is the committee's opinion that</w:t>
            </w:r>
            <w:r>
              <w:t xml:space="preserve"> this bill does not expressly grant any additional rulemaking authority to a state officer, department, agency, or institution.</w:t>
            </w:r>
          </w:p>
          <w:p w14:paraId="27D6E649" w14:textId="77777777" w:rsidR="008423E4" w:rsidRPr="00E21FDC" w:rsidRDefault="008423E4" w:rsidP="005E6190">
            <w:pPr>
              <w:rPr>
                <w:b/>
              </w:rPr>
            </w:pPr>
          </w:p>
        </w:tc>
      </w:tr>
      <w:tr w:rsidR="004F4930" w14:paraId="7804D4A4" w14:textId="77777777" w:rsidTr="00345119">
        <w:tc>
          <w:tcPr>
            <w:tcW w:w="9576" w:type="dxa"/>
          </w:tcPr>
          <w:p w14:paraId="036EDCAB" w14:textId="77777777" w:rsidR="008423E4" w:rsidRPr="00A8133F" w:rsidRDefault="00353530" w:rsidP="005E6190">
            <w:pPr>
              <w:rPr>
                <w:b/>
              </w:rPr>
            </w:pPr>
            <w:r w:rsidRPr="009C1E9A">
              <w:rPr>
                <w:b/>
                <w:u w:val="single"/>
              </w:rPr>
              <w:t>ANALYSIS</w:t>
            </w:r>
            <w:r>
              <w:rPr>
                <w:b/>
              </w:rPr>
              <w:t xml:space="preserve"> </w:t>
            </w:r>
          </w:p>
          <w:p w14:paraId="4F143D33" w14:textId="77777777" w:rsidR="008423E4" w:rsidRDefault="008423E4" w:rsidP="005E6190"/>
          <w:p w14:paraId="116800B6" w14:textId="50091310" w:rsidR="00D40443" w:rsidRDefault="00353530" w:rsidP="005E6190">
            <w:pPr>
              <w:pStyle w:val="Header"/>
              <w:tabs>
                <w:tab w:val="clear" w:pos="4320"/>
                <w:tab w:val="clear" w:pos="8640"/>
              </w:tabs>
              <w:jc w:val="both"/>
            </w:pPr>
            <w:r>
              <w:t>C.S.</w:t>
            </w:r>
            <w:r w:rsidR="00A90AB4">
              <w:t xml:space="preserve">H.B. 3115 amends the Property Code to </w:t>
            </w:r>
            <w:r w:rsidR="00877A3F">
              <w:t>revise the time</w:t>
            </w:r>
            <w:r w:rsidR="00BE146B">
              <w:t xml:space="preserve"> </w:t>
            </w:r>
            <w:r w:rsidR="00877A3F">
              <w:t>frame allowed</w:t>
            </w:r>
            <w:r w:rsidR="0092054D">
              <w:t xml:space="preserve"> for </w:t>
            </w:r>
            <w:r w:rsidR="00877A3F">
              <w:t xml:space="preserve">a judgment debtor to send </w:t>
            </w:r>
            <w:r w:rsidR="0092054D">
              <w:t>the letter</w:t>
            </w:r>
            <w:r w:rsidR="00032522">
              <w:t xml:space="preserve"> </w:t>
            </w:r>
            <w:r w:rsidR="0092054D">
              <w:t xml:space="preserve">notifying </w:t>
            </w:r>
            <w:r w:rsidR="00032522">
              <w:t>a</w:t>
            </w:r>
            <w:r w:rsidR="0092054D">
              <w:t xml:space="preserve"> judgment creditor of the</w:t>
            </w:r>
            <w:r w:rsidR="00877A3F">
              <w:t xml:space="preserve"> filing of an</w:t>
            </w:r>
            <w:r w:rsidR="0092054D">
              <w:t xml:space="preserve"> affidavit </w:t>
            </w:r>
            <w:r w:rsidR="00032522">
              <w:t>attesting to the fact that a property is their homestead for purposes of releasing a judgment lien on the property</w:t>
            </w:r>
            <w:r w:rsidR="00877A3F">
              <w:t xml:space="preserve"> from </w:t>
            </w:r>
            <w:r w:rsidR="0052717B">
              <w:t xml:space="preserve">before </w:t>
            </w:r>
            <w:r w:rsidR="00877A3F">
              <w:t>filing</w:t>
            </w:r>
            <w:r w:rsidR="0052717B">
              <w:t xml:space="preserve"> the affidavit</w:t>
            </w:r>
            <w:r w:rsidR="00032522">
              <w:t xml:space="preserve"> </w:t>
            </w:r>
            <w:r w:rsidR="0092054D">
              <w:t xml:space="preserve">to </w:t>
            </w:r>
            <w:r w:rsidR="00877A3F">
              <w:t>after</w:t>
            </w:r>
            <w:r w:rsidR="0052717B">
              <w:t xml:space="preserve"> </w:t>
            </w:r>
            <w:r w:rsidR="00527571">
              <w:t>th</w:t>
            </w:r>
            <w:r w:rsidR="006115B0">
              <w:t>at</w:t>
            </w:r>
            <w:r w:rsidR="00527571">
              <w:t xml:space="preserve"> </w:t>
            </w:r>
            <w:r w:rsidR="0052717B">
              <w:t xml:space="preserve">filing. The </w:t>
            </w:r>
            <w:r w:rsidR="00E86691">
              <w:t xml:space="preserve">bill authorizes a </w:t>
            </w:r>
            <w:r w:rsidR="004B33D4">
              <w:t xml:space="preserve">debtor </w:t>
            </w:r>
            <w:r w:rsidR="00E86691">
              <w:t>to</w:t>
            </w:r>
            <w:r w:rsidR="0052717B">
              <w:t xml:space="preserve"> </w:t>
            </w:r>
            <w:r w:rsidR="0092054D">
              <w:t>file a separate document known as a certificate of mailing</w:t>
            </w:r>
            <w:r w:rsidR="004B33D4">
              <w:t xml:space="preserve"> in the county</w:t>
            </w:r>
            <w:r w:rsidR="00592F42">
              <w:t>'s</w:t>
            </w:r>
            <w:r w:rsidR="004B33D4">
              <w:t xml:space="preserve"> real property records that attests to the fact that they mailed the letter and a copy of the affidavit to the requisite addresses</w:t>
            </w:r>
            <w:r w:rsidR="0092054D">
              <w:t xml:space="preserve">. </w:t>
            </w:r>
            <w:r>
              <w:t xml:space="preserve">The bill establishes </w:t>
            </w:r>
            <w:r w:rsidR="00CB6702">
              <w:t>the</w:t>
            </w:r>
            <w:r>
              <w:t xml:space="preserve"> form </w:t>
            </w:r>
            <w:r w:rsidR="00CB6702">
              <w:t>of</w:t>
            </w:r>
            <w:r>
              <w:t xml:space="preserve"> the certifi</w:t>
            </w:r>
            <w:r>
              <w:t xml:space="preserve">cate. </w:t>
            </w:r>
          </w:p>
          <w:p w14:paraId="378783F9" w14:textId="77777777" w:rsidR="00D40443" w:rsidRDefault="00D40443" w:rsidP="005E6190">
            <w:pPr>
              <w:pStyle w:val="Header"/>
              <w:tabs>
                <w:tab w:val="clear" w:pos="4320"/>
                <w:tab w:val="clear" w:pos="8640"/>
              </w:tabs>
              <w:jc w:val="both"/>
            </w:pPr>
          </w:p>
          <w:p w14:paraId="567CA664" w14:textId="602B6228" w:rsidR="009C36CD" w:rsidRDefault="00353530" w:rsidP="005E6190">
            <w:pPr>
              <w:pStyle w:val="Header"/>
              <w:tabs>
                <w:tab w:val="clear" w:pos="4320"/>
                <w:tab w:val="clear" w:pos="8640"/>
              </w:tabs>
              <w:jc w:val="both"/>
            </w:pPr>
            <w:r>
              <w:t>C.S.H.B. 3115</w:t>
            </w:r>
            <w:r w:rsidR="007E7E75">
              <w:t xml:space="preserve"> </w:t>
            </w:r>
            <w:r w:rsidR="006A1332">
              <w:t>conditions the authority of</w:t>
            </w:r>
            <w:r w:rsidR="00640355">
              <w:t xml:space="preserve"> </w:t>
            </w:r>
            <w:r w:rsidR="009D6309">
              <w:t xml:space="preserve">a </w:t>
            </w:r>
            <w:r w:rsidR="007E7E75" w:rsidRPr="007E7E75">
              <w:t xml:space="preserve">bona fide purchaser or a mortgagee for value or a successor or assign </w:t>
            </w:r>
            <w:r w:rsidR="005576FB">
              <w:t>thereof</w:t>
            </w:r>
            <w:r w:rsidR="007E7E75">
              <w:t xml:space="preserve"> </w:t>
            </w:r>
            <w:r w:rsidR="00640355">
              <w:t>to rely</w:t>
            </w:r>
            <w:r w:rsidR="007E7E75">
              <w:t xml:space="preserve"> conclusively on </w:t>
            </w:r>
            <w:r w:rsidR="006A1332">
              <w:t>the</w:t>
            </w:r>
            <w:r w:rsidR="005576FB">
              <w:t xml:space="preserve"> </w:t>
            </w:r>
            <w:r w:rsidR="007E7E75">
              <w:t xml:space="preserve">affidavit </w:t>
            </w:r>
            <w:r w:rsidR="005576FB">
              <w:t xml:space="preserve">filed by a judgment debtor </w:t>
            </w:r>
            <w:r w:rsidR="006A1332">
              <w:t>on the debtor filing a certificate of mailing and sets the period of reliance</w:t>
            </w:r>
            <w:r w:rsidR="005576FB">
              <w:t xml:space="preserve"> </w:t>
            </w:r>
            <w:r w:rsidR="006A1332">
              <w:t>at</w:t>
            </w:r>
            <w:r w:rsidR="00640355">
              <w:t xml:space="preserve"> 90</w:t>
            </w:r>
            <w:r w:rsidR="006A1332">
              <w:t xml:space="preserve"> </w:t>
            </w:r>
            <w:r w:rsidR="00640355">
              <w:t>day</w:t>
            </w:r>
            <w:r w:rsidR="006A1332">
              <w:t>s,</w:t>
            </w:r>
            <w:r w:rsidR="00640355">
              <w:t xml:space="preserve"> begin</w:t>
            </w:r>
            <w:r w:rsidR="006A1332">
              <w:t>ning</w:t>
            </w:r>
            <w:r w:rsidR="00640355">
              <w:t xml:space="preserve"> on the date</w:t>
            </w:r>
            <w:r w:rsidR="007E7E75" w:rsidRPr="007E7E75">
              <w:t xml:space="preserve"> </w:t>
            </w:r>
            <w:r w:rsidR="007E7E75" w:rsidRPr="00D40443">
              <w:t xml:space="preserve">the certificate </w:t>
            </w:r>
            <w:r w:rsidR="00640355" w:rsidRPr="00D40443">
              <w:t>was filed</w:t>
            </w:r>
            <w:r w:rsidR="007E7E75">
              <w:t xml:space="preserve">. </w:t>
            </w:r>
            <w:r w:rsidR="00B87AC1">
              <w:t xml:space="preserve">The bill establishes </w:t>
            </w:r>
            <w:r w:rsidR="00A85A09">
              <w:t>a</w:t>
            </w:r>
            <w:r w:rsidR="00640355">
              <w:t xml:space="preserve"> 30</w:t>
            </w:r>
            <w:r w:rsidR="00CB6702">
              <w:t>-</w:t>
            </w:r>
            <w:r w:rsidR="00640355">
              <w:t xml:space="preserve">day </w:t>
            </w:r>
            <w:r w:rsidR="00A85A09">
              <w:t xml:space="preserve">deadline </w:t>
            </w:r>
            <w:r w:rsidR="00640355">
              <w:t xml:space="preserve">after the date </w:t>
            </w:r>
            <w:r w:rsidR="006A1332">
              <w:t>the</w:t>
            </w:r>
            <w:r w:rsidR="00640355">
              <w:t xml:space="preserve"> certificate was filed</w:t>
            </w:r>
            <w:r w:rsidR="00B87AC1">
              <w:t xml:space="preserve"> </w:t>
            </w:r>
            <w:r w:rsidR="00A85A09">
              <w:t>for a</w:t>
            </w:r>
            <w:r w:rsidR="00B87AC1">
              <w:t xml:space="preserve"> </w:t>
            </w:r>
            <w:r w:rsidR="00B87AC1" w:rsidRPr="00B87AC1">
              <w:t xml:space="preserve">judgment creditor </w:t>
            </w:r>
            <w:r w:rsidR="00A85A09">
              <w:t xml:space="preserve">to </w:t>
            </w:r>
            <w:r w:rsidR="00B87AC1" w:rsidRPr="00B87AC1">
              <w:t xml:space="preserve">file a contradicting affidavit </w:t>
            </w:r>
            <w:r w:rsidR="00085391">
              <w:t xml:space="preserve">in the county's real property records </w:t>
            </w:r>
            <w:r w:rsidR="00A85A09">
              <w:t xml:space="preserve">in order for the </w:t>
            </w:r>
            <w:r w:rsidR="006A1332">
              <w:t>debtor's</w:t>
            </w:r>
            <w:r w:rsidR="00A85A09">
              <w:t xml:space="preserve"> affidavit to no longer serve as release of record of </w:t>
            </w:r>
            <w:r w:rsidR="00F537B8">
              <w:t>the</w:t>
            </w:r>
            <w:r w:rsidR="00A85A09">
              <w:t xml:space="preserve"> judgment lien</w:t>
            </w:r>
            <w:r w:rsidR="00B87AC1">
              <w:t>.</w:t>
            </w:r>
            <w:r w:rsidR="006A1332">
              <w:t xml:space="preserve"> The bill includes among the </w:t>
            </w:r>
            <w:r w:rsidR="00085391">
              <w:t>assertions</w:t>
            </w:r>
            <w:r w:rsidR="006A1332">
              <w:t xml:space="preserve"> the creditor may </w:t>
            </w:r>
            <w:r w:rsidR="00085391">
              <w:t>make</w:t>
            </w:r>
            <w:r w:rsidR="006A1332">
              <w:t xml:space="preserve"> in their contradicting affidavit</w:t>
            </w:r>
            <w:r w:rsidR="00085391">
              <w:t xml:space="preserve"> the certificate being untrue</w:t>
            </w:r>
            <w:r w:rsidR="006A1332">
              <w:t>.</w:t>
            </w:r>
          </w:p>
          <w:p w14:paraId="07083481" w14:textId="77777777" w:rsidR="00B87AC1" w:rsidRDefault="00B87AC1" w:rsidP="005E6190">
            <w:pPr>
              <w:pStyle w:val="Header"/>
              <w:tabs>
                <w:tab w:val="clear" w:pos="4320"/>
                <w:tab w:val="clear" w:pos="8640"/>
              </w:tabs>
              <w:jc w:val="both"/>
            </w:pPr>
          </w:p>
          <w:p w14:paraId="60D2FB19" w14:textId="7DC3C5D6" w:rsidR="00B87AC1" w:rsidRPr="009C36CD" w:rsidRDefault="00353530" w:rsidP="005E6190">
            <w:pPr>
              <w:pStyle w:val="Header"/>
              <w:tabs>
                <w:tab w:val="clear" w:pos="4320"/>
                <w:tab w:val="clear" w:pos="8640"/>
              </w:tabs>
              <w:jc w:val="both"/>
            </w:pPr>
            <w:r>
              <w:t>C.S.H.B. 3115 amends the Family C</w:t>
            </w:r>
            <w:r>
              <w:t xml:space="preserve">ode to make a conforming change. </w:t>
            </w:r>
          </w:p>
          <w:p w14:paraId="18F7DDCE" w14:textId="77777777" w:rsidR="008423E4" w:rsidRPr="00835628" w:rsidRDefault="008423E4" w:rsidP="005E6190">
            <w:pPr>
              <w:rPr>
                <w:b/>
              </w:rPr>
            </w:pPr>
          </w:p>
        </w:tc>
      </w:tr>
      <w:tr w:rsidR="004F4930" w14:paraId="314F4C7E" w14:textId="77777777" w:rsidTr="00345119">
        <w:tc>
          <w:tcPr>
            <w:tcW w:w="9576" w:type="dxa"/>
          </w:tcPr>
          <w:p w14:paraId="6C5E893E" w14:textId="77777777" w:rsidR="008423E4" w:rsidRPr="00A8133F" w:rsidRDefault="00353530" w:rsidP="005E6190">
            <w:pPr>
              <w:rPr>
                <w:b/>
              </w:rPr>
            </w:pPr>
            <w:r w:rsidRPr="009C1E9A">
              <w:rPr>
                <w:b/>
                <w:u w:val="single"/>
              </w:rPr>
              <w:t>EFFECTIVE DATE</w:t>
            </w:r>
            <w:r>
              <w:rPr>
                <w:b/>
              </w:rPr>
              <w:t xml:space="preserve"> </w:t>
            </w:r>
          </w:p>
          <w:p w14:paraId="01C3FE7F" w14:textId="77777777" w:rsidR="008423E4" w:rsidRDefault="008423E4" w:rsidP="005E6190"/>
          <w:p w14:paraId="57070210" w14:textId="77777777" w:rsidR="008423E4" w:rsidRPr="003624F2" w:rsidRDefault="00353530" w:rsidP="005E6190">
            <w:pPr>
              <w:pStyle w:val="Header"/>
              <w:tabs>
                <w:tab w:val="clear" w:pos="4320"/>
                <w:tab w:val="clear" w:pos="8640"/>
              </w:tabs>
              <w:jc w:val="both"/>
            </w:pPr>
            <w:r>
              <w:t>September 1, 2021.</w:t>
            </w:r>
          </w:p>
          <w:p w14:paraId="42E6F4EF" w14:textId="77777777" w:rsidR="008423E4" w:rsidRPr="00233FDB" w:rsidRDefault="008423E4" w:rsidP="005E6190">
            <w:pPr>
              <w:rPr>
                <w:b/>
              </w:rPr>
            </w:pPr>
          </w:p>
        </w:tc>
      </w:tr>
      <w:tr w:rsidR="004F4930" w14:paraId="1AB9E92A" w14:textId="77777777" w:rsidTr="00345119">
        <w:tc>
          <w:tcPr>
            <w:tcW w:w="9576" w:type="dxa"/>
          </w:tcPr>
          <w:p w14:paraId="2D995695" w14:textId="77777777" w:rsidR="00C15115" w:rsidRDefault="00353530" w:rsidP="005E6190">
            <w:pPr>
              <w:jc w:val="both"/>
              <w:rPr>
                <w:b/>
                <w:u w:val="single"/>
              </w:rPr>
            </w:pPr>
            <w:r>
              <w:rPr>
                <w:b/>
                <w:u w:val="single"/>
              </w:rPr>
              <w:t>COMPARISON OF ORIGINAL AND SUBSTITUTE</w:t>
            </w:r>
          </w:p>
          <w:p w14:paraId="7068F4B2" w14:textId="77777777" w:rsidR="001715FE" w:rsidRDefault="001715FE" w:rsidP="005E6190">
            <w:pPr>
              <w:jc w:val="both"/>
            </w:pPr>
          </w:p>
          <w:p w14:paraId="23722B70" w14:textId="1ED0D791" w:rsidR="001715FE" w:rsidRDefault="00353530" w:rsidP="005E6190">
            <w:pPr>
              <w:jc w:val="both"/>
            </w:pPr>
            <w:r>
              <w:t xml:space="preserve">While C.S.H.B. 3115 may differ from the original in minor or nonsubstantive ways, the following summarizes the substantial differences between </w:t>
            </w:r>
            <w:r>
              <w:t>the introduced and committee substitute versions of the bill.</w:t>
            </w:r>
          </w:p>
          <w:p w14:paraId="4CEA857B" w14:textId="67E17D9D" w:rsidR="001715FE" w:rsidRDefault="001715FE" w:rsidP="005E6190">
            <w:pPr>
              <w:jc w:val="both"/>
            </w:pPr>
          </w:p>
          <w:p w14:paraId="7362AA19" w14:textId="0B39BD10" w:rsidR="00CA6E08" w:rsidRDefault="00353530" w:rsidP="005E6190">
            <w:pPr>
              <w:jc w:val="both"/>
            </w:pPr>
            <w:r>
              <w:t xml:space="preserve">While both the substitute and the original remove the requirement for a judgment debtor to send a letter </w:t>
            </w:r>
            <w:r w:rsidR="009071A9">
              <w:t xml:space="preserve">in a prescribed manner </w:t>
            </w:r>
            <w:r w:rsidR="009D6684">
              <w:t>to</w:t>
            </w:r>
            <w:r>
              <w:t xml:space="preserve"> a judgment</w:t>
            </w:r>
            <w:r w:rsidR="009071A9">
              <w:t xml:space="preserve"> creditor</w:t>
            </w:r>
            <w:r>
              <w:t xml:space="preserve"> providing advance notice of their intent t</w:t>
            </w:r>
            <w:r>
              <w:t xml:space="preserve">o file an affidavit, along with a copy of the affidavit that will be filed, the substitute </w:t>
            </w:r>
            <w:r w:rsidR="00BB3D1F">
              <w:t>includes</w:t>
            </w:r>
            <w:r>
              <w:t xml:space="preserve"> a requirement for the debtor</w:t>
            </w:r>
            <w:r w:rsidR="009D6684">
              <w:t>, after filing the affidavit,</w:t>
            </w:r>
            <w:r>
              <w:t xml:space="preserve"> to send a letter </w:t>
            </w:r>
            <w:r w:rsidR="009071A9">
              <w:t xml:space="preserve">in that manner </w:t>
            </w:r>
            <w:r>
              <w:t xml:space="preserve">notifying the creditor </w:t>
            </w:r>
            <w:r w:rsidR="009D6684">
              <w:t>of the filing</w:t>
            </w:r>
            <w:r>
              <w:t xml:space="preserve"> </w:t>
            </w:r>
            <w:r w:rsidR="009D6684">
              <w:t xml:space="preserve">along with a copy of the filed affidavit. </w:t>
            </w:r>
          </w:p>
          <w:p w14:paraId="46725539" w14:textId="77777777" w:rsidR="00CA6E08" w:rsidRDefault="00CA6E08" w:rsidP="005E6190">
            <w:pPr>
              <w:jc w:val="both"/>
            </w:pPr>
          </w:p>
          <w:p w14:paraId="27F9EC85" w14:textId="5E15BC2E" w:rsidR="001B3089" w:rsidRDefault="00353530" w:rsidP="005E6190">
            <w:pPr>
              <w:jc w:val="both"/>
            </w:pPr>
            <w:r>
              <w:t xml:space="preserve">The substitute </w:t>
            </w:r>
            <w:r w:rsidR="009D6684">
              <w:t xml:space="preserve">makes additional revisions </w:t>
            </w:r>
            <w:r w:rsidR="00B86425">
              <w:t>as</w:t>
            </w:r>
            <w:r>
              <w:t xml:space="preserve"> follow</w:t>
            </w:r>
            <w:r w:rsidR="00B86425">
              <w:t>s</w:t>
            </w:r>
            <w:r>
              <w:t>:</w:t>
            </w:r>
          </w:p>
          <w:p w14:paraId="25584C26" w14:textId="2C4FE1D3" w:rsidR="00F643D6" w:rsidRDefault="00353530" w:rsidP="005E6190">
            <w:pPr>
              <w:pStyle w:val="ListParagraph"/>
              <w:numPr>
                <w:ilvl w:val="0"/>
                <w:numId w:val="1"/>
              </w:numPr>
              <w:jc w:val="both"/>
            </w:pPr>
            <w:r>
              <w:t>chang</w:t>
            </w:r>
            <w:r w:rsidR="009D6684">
              <w:t>es</w:t>
            </w:r>
            <w:r>
              <w:t xml:space="preserve"> the period </w:t>
            </w:r>
            <w:r w:rsidR="00B86425">
              <w:t>during</w:t>
            </w:r>
            <w:r>
              <w:t xml:space="preserve"> which a </w:t>
            </w:r>
            <w:r w:rsidRPr="00225C45">
              <w:t xml:space="preserve">bona fide purchaser or a mortgagee for value or a successor or assign </w:t>
            </w:r>
            <w:r w:rsidR="00B86425">
              <w:t>there</w:t>
            </w:r>
            <w:r w:rsidRPr="00225C45">
              <w:t xml:space="preserve">of </w:t>
            </w:r>
            <w:r>
              <w:t>may rely conclusively on a filed</w:t>
            </w:r>
            <w:r w:rsidRPr="00225C45">
              <w:t xml:space="preserve"> affidavit</w:t>
            </w:r>
            <w:r>
              <w:t xml:space="preserve"> </w:t>
            </w:r>
            <w:r w:rsidR="009A796C">
              <w:t xml:space="preserve">from </w:t>
            </w:r>
            <w:r w:rsidR="008A1559">
              <w:t>an indefinite</w:t>
            </w:r>
            <w:r w:rsidR="00B86425">
              <w:t xml:space="preserve"> period beginning </w:t>
            </w:r>
            <w:r w:rsidR="009A796C">
              <w:t xml:space="preserve">21 days after the </w:t>
            </w:r>
            <w:r w:rsidR="009A796C" w:rsidRPr="009A796C">
              <w:t xml:space="preserve">date the certificate was filed </w:t>
            </w:r>
            <w:r w:rsidR="009A796C">
              <w:t xml:space="preserve">to </w:t>
            </w:r>
            <w:r w:rsidR="008A1559">
              <w:t xml:space="preserve">a </w:t>
            </w:r>
            <w:r w:rsidR="009A796C">
              <w:t xml:space="preserve">90-day period </w:t>
            </w:r>
            <w:r w:rsidR="009A796C" w:rsidRPr="009A796C">
              <w:t xml:space="preserve">that begins on </w:t>
            </w:r>
            <w:r w:rsidR="009A796C">
              <w:t>that</w:t>
            </w:r>
            <w:r w:rsidR="009A796C" w:rsidRPr="009A796C">
              <w:t xml:space="preserve"> </w:t>
            </w:r>
            <w:r w:rsidR="008A1559">
              <w:t xml:space="preserve">filing </w:t>
            </w:r>
            <w:r w:rsidR="009A796C" w:rsidRPr="009A796C">
              <w:t>date</w:t>
            </w:r>
            <w:r w:rsidR="009D6684">
              <w:t xml:space="preserve">; </w:t>
            </w:r>
          </w:p>
          <w:p w14:paraId="7C969429" w14:textId="5F6EF6BA" w:rsidR="008C0EDA" w:rsidRDefault="00353530" w:rsidP="005E6190">
            <w:pPr>
              <w:pStyle w:val="ListParagraph"/>
              <w:numPr>
                <w:ilvl w:val="0"/>
                <w:numId w:val="2"/>
              </w:numPr>
              <w:jc w:val="both"/>
            </w:pPr>
            <w:r>
              <w:t>includes a deadline of 30 day</w:t>
            </w:r>
            <w:r w:rsidR="000411EC">
              <w:t>s</w:t>
            </w:r>
            <w:r>
              <w:t xml:space="preserve"> after the date </w:t>
            </w:r>
            <w:r w:rsidR="009D6684">
              <w:t xml:space="preserve">the </w:t>
            </w:r>
            <w:r>
              <w:t xml:space="preserve">certificate was filed </w:t>
            </w:r>
            <w:r w:rsidR="000411EC">
              <w:t>for</w:t>
            </w:r>
            <w:r>
              <w:t xml:space="preserve"> a creditor to file a </w:t>
            </w:r>
            <w:r w:rsidRPr="00F643D6">
              <w:t>contradicting affidavit</w:t>
            </w:r>
            <w:r>
              <w:t xml:space="preserve"> for the purpose of </w:t>
            </w:r>
            <w:r w:rsidR="007A34C9">
              <w:t xml:space="preserve">preventing </w:t>
            </w:r>
            <w:r w:rsidR="000411EC">
              <w:t xml:space="preserve">the </w:t>
            </w:r>
            <w:r w:rsidR="007A34C9">
              <w:t xml:space="preserve">affidavit filed by </w:t>
            </w:r>
            <w:r w:rsidR="000411EC">
              <w:t>the</w:t>
            </w:r>
            <w:r w:rsidR="007A34C9">
              <w:t xml:space="preserve"> debtor from serving as a </w:t>
            </w:r>
            <w:r w:rsidR="007A34C9" w:rsidRPr="007A34C9">
              <w:t>release of record of a judgment lien</w:t>
            </w:r>
            <w:r>
              <w:t>; and</w:t>
            </w:r>
            <w:r w:rsidR="007A34C9">
              <w:t xml:space="preserve"> </w:t>
            </w:r>
            <w:r>
              <w:t xml:space="preserve"> </w:t>
            </w:r>
          </w:p>
          <w:p w14:paraId="00AA277F" w14:textId="50E490F3" w:rsidR="00F643D6" w:rsidRPr="001715FE" w:rsidRDefault="00353530" w:rsidP="005E6190">
            <w:pPr>
              <w:pStyle w:val="ListParagraph"/>
              <w:numPr>
                <w:ilvl w:val="0"/>
                <w:numId w:val="2"/>
              </w:numPr>
              <w:jc w:val="both"/>
            </w:pPr>
            <w:r>
              <w:t>removes the specification that a judgment debtor may file the affidavit or certificate at any time.</w:t>
            </w:r>
          </w:p>
        </w:tc>
      </w:tr>
      <w:tr w:rsidR="004F4930" w14:paraId="2FD77663" w14:textId="77777777" w:rsidTr="00345119">
        <w:tc>
          <w:tcPr>
            <w:tcW w:w="9576" w:type="dxa"/>
          </w:tcPr>
          <w:p w14:paraId="52C6CDF1" w14:textId="77777777" w:rsidR="00C15115" w:rsidRPr="009C1E9A" w:rsidRDefault="00C15115" w:rsidP="005E6190">
            <w:pPr>
              <w:rPr>
                <w:b/>
                <w:u w:val="single"/>
              </w:rPr>
            </w:pPr>
          </w:p>
        </w:tc>
      </w:tr>
      <w:tr w:rsidR="004F4930" w14:paraId="7CA44713" w14:textId="77777777" w:rsidTr="00345119">
        <w:tc>
          <w:tcPr>
            <w:tcW w:w="9576" w:type="dxa"/>
          </w:tcPr>
          <w:p w14:paraId="2C741708" w14:textId="77777777" w:rsidR="00C15115" w:rsidRPr="00C15115" w:rsidRDefault="00C15115" w:rsidP="005E6190">
            <w:pPr>
              <w:jc w:val="both"/>
            </w:pPr>
          </w:p>
        </w:tc>
      </w:tr>
    </w:tbl>
    <w:p w14:paraId="4A36452E" w14:textId="77777777" w:rsidR="008423E4" w:rsidRPr="00BE0E75" w:rsidRDefault="008423E4" w:rsidP="005E6190">
      <w:pPr>
        <w:jc w:val="both"/>
        <w:rPr>
          <w:rFonts w:ascii="Arial" w:hAnsi="Arial"/>
          <w:sz w:val="16"/>
          <w:szCs w:val="16"/>
        </w:rPr>
      </w:pPr>
    </w:p>
    <w:p w14:paraId="1F08D386" w14:textId="77777777" w:rsidR="004108C3" w:rsidRPr="008423E4" w:rsidRDefault="004108C3" w:rsidP="005E6190"/>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D005B" w14:textId="77777777" w:rsidR="00000000" w:rsidRDefault="00353530">
      <w:r>
        <w:separator/>
      </w:r>
    </w:p>
  </w:endnote>
  <w:endnote w:type="continuationSeparator" w:id="0">
    <w:p w14:paraId="44C8EF85" w14:textId="77777777" w:rsidR="00000000" w:rsidRDefault="00353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E73A8"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4F4930" w14:paraId="72776C8F" w14:textId="77777777" w:rsidTr="009C1E9A">
      <w:trPr>
        <w:cantSplit/>
      </w:trPr>
      <w:tc>
        <w:tcPr>
          <w:tcW w:w="0" w:type="pct"/>
        </w:tcPr>
        <w:p w14:paraId="0655F5E4" w14:textId="77777777" w:rsidR="00137D90" w:rsidRDefault="00137D90" w:rsidP="009C1E9A">
          <w:pPr>
            <w:pStyle w:val="Footer"/>
            <w:tabs>
              <w:tab w:val="clear" w:pos="8640"/>
              <w:tab w:val="right" w:pos="9360"/>
            </w:tabs>
          </w:pPr>
        </w:p>
      </w:tc>
      <w:tc>
        <w:tcPr>
          <w:tcW w:w="2395" w:type="pct"/>
        </w:tcPr>
        <w:p w14:paraId="2AC6D531" w14:textId="77777777" w:rsidR="00137D90" w:rsidRDefault="00137D90" w:rsidP="009C1E9A">
          <w:pPr>
            <w:pStyle w:val="Footer"/>
            <w:tabs>
              <w:tab w:val="clear" w:pos="8640"/>
              <w:tab w:val="right" w:pos="9360"/>
            </w:tabs>
          </w:pPr>
        </w:p>
        <w:p w14:paraId="28ED7678" w14:textId="77777777" w:rsidR="001A4310" w:rsidRDefault="001A4310" w:rsidP="009C1E9A">
          <w:pPr>
            <w:pStyle w:val="Footer"/>
            <w:tabs>
              <w:tab w:val="clear" w:pos="8640"/>
              <w:tab w:val="right" w:pos="9360"/>
            </w:tabs>
          </w:pPr>
        </w:p>
        <w:p w14:paraId="38E69FE1" w14:textId="77777777" w:rsidR="00137D90" w:rsidRDefault="00137D90" w:rsidP="009C1E9A">
          <w:pPr>
            <w:pStyle w:val="Footer"/>
            <w:tabs>
              <w:tab w:val="clear" w:pos="8640"/>
              <w:tab w:val="right" w:pos="9360"/>
            </w:tabs>
          </w:pPr>
        </w:p>
      </w:tc>
      <w:tc>
        <w:tcPr>
          <w:tcW w:w="2453" w:type="pct"/>
        </w:tcPr>
        <w:p w14:paraId="02903CC1" w14:textId="77777777" w:rsidR="00137D90" w:rsidRDefault="00137D90" w:rsidP="009C1E9A">
          <w:pPr>
            <w:pStyle w:val="Footer"/>
            <w:tabs>
              <w:tab w:val="clear" w:pos="8640"/>
              <w:tab w:val="right" w:pos="9360"/>
            </w:tabs>
            <w:jc w:val="right"/>
          </w:pPr>
        </w:p>
      </w:tc>
    </w:tr>
    <w:tr w:rsidR="004F4930" w14:paraId="1B18D235" w14:textId="77777777" w:rsidTr="009C1E9A">
      <w:trPr>
        <w:cantSplit/>
      </w:trPr>
      <w:tc>
        <w:tcPr>
          <w:tcW w:w="0" w:type="pct"/>
        </w:tcPr>
        <w:p w14:paraId="6A8CAFD9" w14:textId="77777777" w:rsidR="00EC379B" w:rsidRDefault="00EC379B" w:rsidP="009C1E9A">
          <w:pPr>
            <w:pStyle w:val="Footer"/>
            <w:tabs>
              <w:tab w:val="clear" w:pos="8640"/>
              <w:tab w:val="right" w:pos="9360"/>
            </w:tabs>
          </w:pPr>
        </w:p>
      </w:tc>
      <w:tc>
        <w:tcPr>
          <w:tcW w:w="2395" w:type="pct"/>
        </w:tcPr>
        <w:p w14:paraId="3242F904" w14:textId="1644F0F3" w:rsidR="00EC379B" w:rsidRPr="009C1E9A" w:rsidRDefault="00353530" w:rsidP="009C1E9A">
          <w:pPr>
            <w:pStyle w:val="Footer"/>
            <w:tabs>
              <w:tab w:val="clear" w:pos="8640"/>
              <w:tab w:val="right" w:pos="9360"/>
            </w:tabs>
            <w:rPr>
              <w:rFonts w:ascii="Shruti" w:hAnsi="Shruti"/>
              <w:sz w:val="22"/>
            </w:rPr>
          </w:pPr>
          <w:r>
            <w:rPr>
              <w:rFonts w:ascii="Shruti" w:hAnsi="Shruti"/>
              <w:sz w:val="22"/>
            </w:rPr>
            <w:t>87R 19091</w:t>
          </w:r>
        </w:p>
      </w:tc>
      <w:tc>
        <w:tcPr>
          <w:tcW w:w="2453" w:type="pct"/>
        </w:tcPr>
        <w:p w14:paraId="4E57D87B" w14:textId="31117CDE" w:rsidR="00EC379B" w:rsidRDefault="00353530" w:rsidP="009C1E9A">
          <w:pPr>
            <w:pStyle w:val="Footer"/>
            <w:tabs>
              <w:tab w:val="clear" w:pos="8640"/>
              <w:tab w:val="right" w:pos="9360"/>
            </w:tabs>
            <w:jc w:val="right"/>
          </w:pPr>
          <w:r>
            <w:fldChar w:fldCharType="begin"/>
          </w:r>
          <w:r>
            <w:instrText xml:space="preserve"> DOCPROPERTY  OTID  \* MERGEFORMAT </w:instrText>
          </w:r>
          <w:r>
            <w:fldChar w:fldCharType="separate"/>
          </w:r>
          <w:r w:rsidR="00043320">
            <w:t>21.100.122</w:t>
          </w:r>
          <w:r>
            <w:fldChar w:fldCharType="end"/>
          </w:r>
        </w:p>
      </w:tc>
    </w:tr>
    <w:tr w:rsidR="004F4930" w14:paraId="400246FB" w14:textId="77777777" w:rsidTr="009C1E9A">
      <w:trPr>
        <w:cantSplit/>
      </w:trPr>
      <w:tc>
        <w:tcPr>
          <w:tcW w:w="0" w:type="pct"/>
        </w:tcPr>
        <w:p w14:paraId="224507D5" w14:textId="77777777" w:rsidR="00EC379B" w:rsidRDefault="00EC379B" w:rsidP="009C1E9A">
          <w:pPr>
            <w:pStyle w:val="Footer"/>
            <w:tabs>
              <w:tab w:val="clear" w:pos="4320"/>
              <w:tab w:val="clear" w:pos="8640"/>
              <w:tab w:val="left" w:pos="2865"/>
            </w:tabs>
          </w:pPr>
        </w:p>
      </w:tc>
      <w:tc>
        <w:tcPr>
          <w:tcW w:w="2395" w:type="pct"/>
        </w:tcPr>
        <w:p w14:paraId="4D4A4248" w14:textId="55569FF3" w:rsidR="00EC379B" w:rsidRPr="009C1E9A" w:rsidRDefault="00353530" w:rsidP="009C1E9A">
          <w:pPr>
            <w:pStyle w:val="Footer"/>
            <w:tabs>
              <w:tab w:val="clear" w:pos="4320"/>
              <w:tab w:val="clear" w:pos="8640"/>
              <w:tab w:val="left" w:pos="2865"/>
            </w:tabs>
            <w:rPr>
              <w:rFonts w:ascii="Shruti" w:hAnsi="Shruti"/>
              <w:sz w:val="22"/>
            </w:rPr>
          </w:pPr>
          <w:r>
            <w:rPr>
              <w:rFonts w:ascii="Shruti" w:hAnsi="Shruti"/>
              <w:sz w:val="22"/>
            </w:rPr>
            <w:t>Substitute Document Number: 87R 13901</w:t>
          </w:r>
        </w:p>
      </w:tc>
      <w:tc>
        <w:tcPr>
          <w:tcW w:w="2453" w:type="pct"/>
        </w:tcPr>
        <w:p w14:paraId="34DD9E12" w14:textId="77777777" w:rsidR="00EC379B" w:rsidRDefault="00EC379B" w:rsidP="006D504F">
          <w:pPr>
            <w:pStyle w:val="Footer"/>
            <w:rPr>
              <w:rStyle w:val="PageNumber"/>
            </w:rPr>
          </w:pPr>
        </w:p>
        <w:p w14:paraId="3505F12E" w14:textId="77777777" w:rsidR="00EC379B" w:rsidRDefault="00EC379B" w:rsidP="009C1E9A">
          <w:pPr>
            <w:pStyle w:val="Footer"/>
            <w:tabs>
              <w:tab w:val="clear" w:pos="8640"/>
              <w:tab w:val="right" w:pos="9360"/>
            </w:tabs>
            <w:jc w:val="right"/>
          </w:pPr>
        </w:p>
      </w:tc>
    </w:tr>
    <w:tr w:rsidR="004F4930" w14:paraId="7946C0FB" w14:textId="77777777" w:rsidTr="009C1E9A">
      <w:trPr>
        <w:cantSplit/>
        <w:trHeight w:val="323"/>
      </w:trPr>
      <w:tc>
        <w:tcPr>
          <w:tcW w:w="0" w:type="pct"/>
          <w:gridSpan w:val="3"/>
        </w:tcPr>
        <w:p w14:paraId="3269D9C9" w14:textId="1AD311FF" w:rsidR="00EC379B" w:rsidRDefault="0035353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43320">
            <w:rPr>
              <w:rStyle w:val="PageNumber"/>
              <w:noProof/>
            </w:rPr>
            <w:t>1</w:t>
          </w:r>
          <w:r>
            <w:rPr>
              <w:rStyle w:val="PageNumber"/>
            </w:rPr>
            <w:fldChar w:fldCharType="end"/>
          </w:r>
        </w:p>
        <w:p w14:paraId="21D4BC41" w14:textId="77777777" w:rsidR="00EC379B" w:rsidRDefault="00EC379B" w:rsidP="009C1E9A">
          <w:pPr>
            <w:pStyle w:val="Footer"/>
            <w:tabs>
              <w:tab w:val="clear" w:pos="8640"/>
              <w:tab w:val="right" w:pos="9360"/>
            </w:tabs>
            <w:jc w:val="center"/>
          </w:pPr>
        </w:p>
      </w:tc>
    </w:tr>
  </w:tbl>
  <w:p w14:paraId="2A66664E"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61ED7"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009B8" w14:textId="77777777" w:rsidR="00000000" w:rsidRDefault="00353530">
      <w:r>
        <w:separator/>
      </w:r>
    </w:p>
  </w:footnote>
  <w:footnote w:type="continuationSeparator" w:id="0">
    <w:p w14:paraId="2216752A" w14:textId="77777777" w:rsidR="00000000" w:rsidRDefault="00353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12DBF"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0831D"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3EF56"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3505E"/>
    <w:multiLevelType w:val="hybridMultilevel"/>
    <w:tmpl w:val="C664731A"/>
    <w:lvl w:ilvl="0" w:tplc="5206063E">
      <w:start w:val="1"/>
      <w:numFmt w:val="bullet"/>
      <w:lvlText w:val=""/>
      <w:lvlJc w:val="left"/>
      <w:pPr>
        <w:tabs>
          <w:tab w:val="num" w:pos="720"/>
        </w:tabs>
        <w:ind w:left="720" w:hanging="360"/>
      </w:pPr>
      <w:rPr>
        <w:rFonts w:ascii="Symbol" w:hAnsi="Symbol" w:hint="default"/>
      </w:rPr>
    </w:lvl>
    <w:lvl w:ilvl="1" w:tplc="CF489964" w:tentative="1">
      <w:start w:val="1"/>
      <w:numFmt w:val="bullet"/>
      <w:lvlText w:val="o"/>
      <w:lvlJc w:val="left"/>
      <w:pPr>
        <w:ind w:left="1440" w:hanging="360"/>
      </w:pPr>
      <w:rPr>
        <w:rFonts w:ascii="Courier New" w:hAnsi="Courier New" w:cs="Courier New" w:hint="default"/>
      </w:rPr>
    </w:lvl>
    <w:lvl w:ilvl="2" w:tplc="0342647A" w:tentative="1">
      <w:start w:val="1"/>
      <w:numFmt w:val="bullet"/>
      <w:lvlText w:val=""/>
      <w:lvlJc w:val="left"/>
      <w:pPr>
        <w:ind w:left="2160" w:hanging="360"/>
      </w:pPr>
      <w:rPr>
        <w:rFonts w:ascii="Wingdings" w:hAnsi="Wingdings" w:hint="default"/>
      </w:rPr>
    </w:lvl>
    <w:lvl w:ilvl="3" w:tplc="34F406A8" w:tentative="1">
      <w:start w:val="1"/>
      <w:numFmt w:val="bullet"/>
      <w:lvlText w:val=""/>
      <w:lvlJc w:val="left"/>
      <w:pPr>
        <w:ind w:left="2880" w:hanging="360"/>
      </w:pPr>
      <w:rPr>
        <w:rFonts w:ascii="Symbol" w:hAnsi="Symbol" w:hint="default"/>
      </w:rPr>
    </w:lvl>
    <w:lvl w:ilvl="4" w:tplc="BE2C437E" w:tentative="1">
      <w:start w:val="1"/>
      <w:numFmt w:val="bullet"/>
      <w:lvlText w:val="o"/>
      <w:lvlJc w:val="left"/>
      <w:pPr>
        <w:ind w:left="3600" w:hanging="360"/>
      </w:pPr>
      <w:rPr>
        <w:rFonts w:ascii="Courier New" w:hAnsi="Courier New" w:cs="Courier New" w:hint="default"/>
      </w:rPr>
    </w:lvl>
    <w:lvl w:ilvl="5" w:tplc="ACB895EC" w:tentative="1">
      <w:start w:val="1"/>
      <w:numFmt w:val="bullet"/>
      <w:lvlText w:val=""/>
      <w:lvlJc w:val="left"/>
      <w:pPr>
        <w:ind w:left="4320" w:hanging="360"/>
      </w:pPr>
      <w:rPr>
        <w:rFonts w:ascii="Wingdings" w:hAnsi="Wingdings" w:hint="default"/>
      </w:rPr>
    </w:lvl>
    <w:lvl w:ilvl="6" w:tplc="1982EF1C" w:tentative="1">
      <w:start w:val="1"/>
      <w:numFmt w:val="bullet"/>
      <w:lvlText w:val=""/>
      <w:lvlJc w:val="left"/>
      <w:pPr>
        <w:ind w:left="5040" w:hanging="360"/>
      </w:pPr>
      <w:rPr>
        <w:rFonts w:ascii="Symbol" w:hAnsi="Symbol" w:hint="default"/>
      </w:rPr>
    </w:lvl>
    <w:lvl w:ilvl="7" w:tplc="C308C55C" w:tentative="1">
      <w:start w:val="1"/>
      <w:numFmt w:val="bullet"/>
      <w:lvlText w:val="o"/>
      <w:lvlJc w:val="left"/>
      <w:pPr>
        <w:ind w:left="5760" w:hanging="360"/>
      </w:pPr>
      <w:rPr>
        <w:rFonts w:ascii="Courier New" w:hAnsi="Courier New" w:cs="Courier New" w:hint="default"/>
      </w:rPr>
    </w:lvl>
    <w:lvl w:ilvl="8" w:tplc="DCAC52E4" w:tentative="1">
      <w:start w:val="1"/>
      <w:numFmt w:val="bullet"/>
      <w:lvlText w:val=""/>
      <w:lvlJc w:val="left"/>
      <w:pPr>
        <w:ind w:left="6480" w:hanging="360"/>
      </w:pPr>
      <w:rPr>
        <w:rFonts w:ascii="Wingdings" w:hAnsi="Wingdings" w:hint="default"/>
      </w:rPr>
    </w:lvl>
  </w:abstractNum>
  <w:abstractNum w:abstractNumId="1" w15:restartNumberingAfterBreak="0">
    <w:nsid w:val="5D915612"/>
    <w:multiLevelType w:val="hybridMultilevel"/>
    <w:tmpl w:val="6164BF58"/>
    <w:lvl w:ilvl="0" w:tplc="2BBE73AE">
      <w:start w:val="1"/>
      <w:numFmt w:val="bullet"/>
      <w:lvlText w:val=""/>
      <w:lvlJc w:val="left"/>
      <w:pPr>
        <w:tabs>
          <w:tab w:val="num" w:pos="720"/>
        </w:tabs>
        <w:ind w:left="720" w:hanging="360"/>
      </w:pPr>
      <w:rPr>
        <w:rFonts w:ascii="Symbol" w:hAnsi="Symbol" w:hint="default"/>
      </w:rPr>
    </w:lvl>
    <w:lvl w:ilvl="1" w:tplc="447E01EC" w:tentative="1">
      <w:start w:val="1"/>
      <w:numFmt w:val="bullet"/>
      <w:lvlText w:val="o"/>
      <w:lvlJc w:val="left"/>
      <w:pPr>
        <w:ind w:left="1440" w:hanging="360"/>
      </w:pPr>
      <w:rPr>
        <w:rFonts w:ascii="Courier New" w:hAnsi="Courier New" w:cs="Courier New" w:hint="default"/>
      </w:rPr>
    </w:lvl>
    <w:lvl w:ilvl="2" w:tplc="286644B4" w:tentative="1">
      <w:start w:val="1"/>
      <w:numFmt w:val="bullet"/>
      <w:lvlText w:val=""/>
      <w:lvlJc w:val="left"/>
      <w:pPr>
        <w:ind w:left="2160" w:hanging="360"/>
      </w:pPr>
      <w:rPr>
        <w:rFonts w:ascii="Wingdings" w:hAnsi="Wingdings" w:hint="default"/>
      </w:rPr>
    </w:lvl>
    <w:lvl w:ilvl="3" w:tplc="2C587576" w:tentative="1">
      <w:start w:val="1"/>
      <w:numFmt w:val="bullet"/>
      <w:lvlText w:val=""/>
      <w:lvlJc w:val="left"/>
      <w:pPr>
        <w:ind w:left="2880" w:hanging="360"/>
      </w:pPr>
      <w:rPr>
        <w:rFonts w:ascii="Symbol" w:hAnsi="Symbol" w:hint="default"/>
      </w:rPr>
    </w:lvl>
    <w:lvl w:ilvl="4" w:tplc="CC36A962" w:tentative="1">
      <w:start w:val="1"/>
      <w:numFmt w:val="bullet"/>
      <w:lvlText w:val="o"/>
      <w:lvlJc w:val="left"/>
      <w:pPr>
        <w:ind w:left="3600" w:hanging="360"/>
      </w:pPr>
      <w:rPr>
        <w:rFonts w:ascii="Courier New" w:hAnsi="Courier New" w:cs="Courier New" w:hint="default"/>
      </w:rPr>
    </w:lvl>
    <w:lvl w:ilvl="5" w:tplc="B588B478" w:tentative="1">
      <w:start w:val="1"/>
      <w:numFmt w:val="bullet"/>
      <w:lvlText w:val=""/>
      <w:lvlJc w:val="left"/>
      <w:pPr>
        <w:ind w:left="4320" w:hanging="360"/>
      </w:pPr>
      <w:rPr>
        <w:rFonts w:ascii="Wingdings" w:hAnsi="Wingdings" w:hint="default"/>
      </w:rPr>
    </w:lvl>
    <w:lvl w:ilvl="6" w:tplc="0B643CE2" w:tentative="1">
      <w:start w:val="1"/>
      <w:numFmt w:val="bullet"/>
      <w:lvlText w:val=""/>
      <w:lvlJc w:val="left"/>
      <w:pPr>
        <w:ind w:left="5040" w:hanging="360"/>
      </w:pPr>
      <w:rPr>
        <w:rFonts w:ascii="Symbol" w:hAnsi="Symbol" w:hint="default"/>
      </w:rPr>
    </w:lvl>
    <w:lvl w:ilvl="7" w:tplc="3F00562E" w:tentative="1">
      <w:start w:val="1"/>
      <w:numFmt w:val="bullet"/>
      <w:lvlText w:val="o"/>
      <w:lvlJc w:val="left"/>
      <w:pPr>
        <w:ind w:left="5760" w:hanging="360"/>
      </w:pPr>
      <w:rPr>
        <w:rFonts w:ascii="Courier New" w:hAnsi="Courier New" w:cs="Courier New" w:hint="default"/>
      </w:rPr>
    </w:lvl>
    <w:lvl w:ilvl="8" w:tplc="933E283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AB4"/>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2522"/>
    <w:rsid w:val="000330D4"/>
    <w:rsid w:val="0003572D"/>
    <w:rsid w:val="00035DB0"/>
    <w:rsid w:val="00037088"/>
    <w:rsid w:val="000400D5"/>
    <w:rsid w:val="000411EC"/>
    <w:rsid w:val="00043320"/>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8239E"/>
    <w:rsid w:val="00085391"/>
    <w:rsid w:val="00085F64"/>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45C2"/>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5FE"/>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089"/>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57EF"/>
    <w:rsid w:val="001E655E"/>
    <w:rsid w:val="001F3CB8"/>
    <w:rsid w:val="001F6B91"/>
    <w:rsid w:val="001F6B92"/>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25C45"/>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530"/>
    <w:rsid w:val="003536AA"/>
    <w:rsid w:val="003544CE"/>
    <w:rsid w:val="00355A98"/>
    <w:rsid w:val="00355D7E"/>
    <w:rsid w:val="00357CA1"/>
    <w:rsid w:val="00361FE9"/>
    <w:rsid w:val="003624F2"/>
    <w:rsid w:val="00363854"/>
    <w:rsid w:val="00364315"/>
    <w:rsid w:val="003643E2"/>
    <w:rsid w:val="00370155"/>
    <w:rsid w:val="003712D5"/>
    <w:rsid w:val="00374306"/>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33D4"/>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4930"/>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2717B"/>
    <w:rsid w:val="00527571"/>
    <w:rsid w:val="005304B2"/>
    <w:rsid w:val="005336BD"/>
    <w:rsid w:val="00534A49"/>
    <w:rsid w:val="005363BB"/>
    <w:rsid w:val="00541B98"/>
    <w:rsid w:val="00543374"/>
    <w:rsid w:val="00545548"/>
    <w:rsid w:val="00546923"/>
    <w:rsid w:val="00551CA6"/>
    <w:rsid w:val="00555034"/>
    <w:rsid w:val="005570D2"/>
    <w:rsid w:val="005576FB"/>
    <w:rsid w:val="0056153F"/>
    <w:rsid w:val="00561B14"/>
    <w:rsid w:val="00562C87"/>
    <w:rsid w:val="005636BD"/>
    <w:rsid w:val="005666D5"/>
    <w:rsid w:val="005669A7"/>
    <w:rsid w:val="00573401"/>
    <w:rsid w:val="00576714"/>
    <w:rsid w:val="0057685A"/>
    <w:rsid w:val="005847EF"/>
    <w:rsid w:val="005851E6"/>
    <w:rsid w:val="005878B7"/>
    <w:rsid w:val="00592C9A"/>
    <w:rsid w:val="00592F42"/>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6190"/>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15B0"/>
    <w:rsid w:val="00614633"/>
    <w:rsid w:val="00614BC8"/>
    <w:rsid w:val="006151FB"/>
    <w:rsid w:val="0061647A"/>
    <w:rsid w:val="00617411"/>
    <w:rsid w:val="006249CB"/>
    <w:rsid w:val="006272DD"/>
    <w:rsid w:val="00630963"/>
    <w:rsid w:val="00631897"/>
    <w:rsid w:val="00632928"/>
    <w:rsid w:val="006330DA"/>
    <w:rsid w:val="00633262"/>
    <w:rsid w:val="00633460"/>
    <w:rsid w:val="006402E7"/>
    <w:rsid w:val="00640355"/>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1332"/>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C665B"/>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346C"/>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4C9"/>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E7E75"/>
    <w:rsid w:val="007F3861"/>
    <w:rsid w:val="007F4162"/>
    <w:rsid w:val="007F5441"/>
    <w:rsid w:val="007F7668"/>
    <w:rsid w:val="00800C63"/>
    <w:rsid w:val="00802243"/>
    <w:rsid w:val="008023D4"/>
    <w:rsid w:val="00805402"/>
    <w:rsid w:val="00805783"/>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468E6"/>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77A3F"/>
    <w:rsid w:val="008806EB"/>
    <w:rsid w:val="008826F2"/>
    <w:rsid w:val="008845BA"/>
    <w:rsid w:val="00885203"/>
    <w:rsid w:val="008859CA"/>
    <w:rsid w:val="008861EE"/>
    <w:rsid w:val="00890B59"/>
    <w:rsid w:val="008930D7"/>
    <w:rsid w:val="008947A7"/>
    <w:rsid w:val="00897E80"/>
    <w:rsid w:val="008A04FA"/>
    <w:rsid w:val="008A1559"/>
    <w:rsid w:val="008A3188"/>
    <w:rsid w:val="008A3FDF"/>
    <w:rsid w:val="008A6418"/>
    <w:rsid w:val="008B05D8"/>
    <w:rsid w:val="008B0B3D"/>
    <w:rsid w:val="008B2B1A"/>
    <w:rsid w:val="008B3428"/>
    <w:rsid w:val="008B7785"/>
    <w:rsid w:val="008C0809"/>
    <w:rsid w:val="008C0EDA"/>
    <w:rsid w:val="008C132C"/>
    <w:rsid w:val="008C13BE"/>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1A9"/>
    <w:rsid w:val="00907780"/>
    <w:rsid w:val="00907EDD"/>
    <w:rsid w:val="009107AD"/>
    <w:rsid w:val="00915568"/>
    <w:rsid w:val="00917E0C"/>
    <w:rsid w:val="0092054D"/>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1D"/>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0F68"/>
    <w:rsid w:val="009A1883"/>
    <w:rsid w:val="009A1A18"/>
    <w:rsid w:val="009A39F5"/>
    <w:rsid w:val="009A4588"/>
    <w:rsid w:val="009A5EA5"/>
    <w:rsid w:val="009A796C"/>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D6309"/>
    <w:rsid w:val="009D6684"/>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37FC5"/>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85A09"/>
    <w:rsid w:val="00A90AB4"/>
    <w:rsid w:val="00A932BB"/>
    <w:rsid w:val="00A93579"/>
    <w:rsid w:val="00A93934"/>
    <w:rsid w:val="00A95D51"/>
    <w:rsid w:val="00AA18AE"/>
    <w:rsid w:val="00AA228B"/>
    <w:rsid w:val="00AA597A"/>
    <w:rsid w:val="00AA7E52"/>
    <w:rsid w:val="00AB1655"/>
    <w:rsid w:val="00AB1873"/>
    <w:rsid w:val="00AB2C05"/>
    <w:rsid w:val="00AB3536"/>
    <w:rsid w:val="00AB43F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86425"/>
    <w:rsid w:val="00B87AC1"/>
    <w:rsid w:val="00B90097"/>
    <w:rsid w:val="00B90999"/>
    <w:rsid w:val="00B91AD7"/>
    <w:rsid w:val="00B92D23"/>
    <w:rsid w:val="00B95BC8"/>
    <w:rsid w:val="00B96E87"/>
    <w:rsid w:val="00BA146A"/>
    <w:rsid w:val="00BA32EE"/>
    <w:rsid w:val="00BB3D1F"/>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46B"/>
    <w:rsid w:val="00BE1789"/>
    <w:rsid w:val="00BE3634"/>
    <w:rsid w:val="00BE3E30"/>
    <w:rsid w:val="00BE5274"/>
    <w:rsid w:val="00BE71CD"/>
    <w:rsid w:val="00BE7748"/>
    <w:rsid w:val="00BE7BDA"/>
    <w:rsid w:val="00BF0548"/>
    <w:rsid w:val="00BF38C6"/>
    <w:rsid w:val="00BF4949"/>
    <w:rsid w:val="00BF4D7C"/>
    <w:rsid w:val="00BF5085"/>
    <w:rsid w:val="00C013F4"/>
    <w:rsid w:val="00C040AB"/>
    <w:rsid w:val="00C0499B"/>
    <w:rsid w:val="00C05406"/>
    <w:rsid w:val="00C05CF0"/>
    <w:rsid w:val="00C119AC"/>
    <w:rsid w:val="00C14EE6"/>
    <w:rsid w:val="00C15115"/>
    <w:rsid w:val="00C151DA"/>
    <w:rsid w:val="00C152A1"/>
    <w:rsid w:val="00C16CCB"/>
    <w:rsid w:val="00C2142B"/>
    <w:rsid w:val="00C22987"/>
    <w:rsid w:val="00C236DF"/>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174"/>
    <w:rsid w:val="00CA5E5E"/>
    <w:rsid w:val="00CA6E08"/>
    <w:rsid w:val="00CA7D7B"/>
    <w:rsid w:val="00CB0131"/>
    <w:rsid w:val="00CB0AE4"/>
    <w:rsid w:val="00CB0C21"/>
    <w:rsid w:val="00CB0D1A"/>
    <w:rsid w:val="00CB3627"/>
    <w:rsid w:val="00CB4B4B"/>
    <w:rsid w:val="00CB4B73"/>
    <w:rsid w:val="00CB6702"/>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3F97"/>
    <w:rsid w:val="00D060A8"/>
    <w:rsid w:val="00D06605"/>
    <w:rsid w:val="00D0720F"/>
    <w:rsid w:val="00D074E2"/>
    <w:rsid w:val="00D11B0B"/>
    <w:rsid w:val="00D12A3E"/>
    <w:rsid w:val="00D22160"/>
    <w:rsid w:val="00D22172"/>
    <w:rsid w:val="00D2301B"/>
    <w:rsid w:val="00D239EE"/>
    <w:rsid w:val="00D30534"/>
    <w:rsid w:val="00D35728"/>
    <w:rsid w:val="00D37BCF"/>
    <w:rsid w:val="00D40443"/>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6691"/>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57B7"/>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B64"/>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C92"/>
    <w:rsid w:val="00F36FE0"/>
    <w:rsid w:val="00F37EA8"/>
    <w:rsid w:val="00F40B14"/>
    <w:rsid w:val="00F41186"/>
    <w:rsid w:val="00F41EEF"/>
    <w:rsid w:val="00F41FAC"/>
    <w:rsid w:val="00F423D3"/>
    <w:rsid w:val="00F44349"/>
    <w:rsid w:val="00F4569E"/>
    <w:rsid w:val="00F45AFC"/>
    <w:rsid w:val="00F462F4"/>
    <w:rsid w:val="00F50130"/>
    <w:rsid w:val="00F52402"/>
    <w:rsid w:val="00F537B8"/>
    <w:rsid w:val="00F5605D"/>
    <w:rsid w:val="00F643D6"/>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2308"/>
    <w:rsid w:val="00FB7297"/>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905054-6D0B-486A-A596-29BCA9FD1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7E7E75"/>
    <w:rPr>
      <w:sz w:val="16"/>
      <w:szCs w:val="16"/>
    </w:rPr>
  </w:style>
  <w:style w:type="paragraph" w:styleId="CommentText">
    <w:name w:val="annotation text"/>
    <w:basedOn w:val="Normal"/>
    <w:link w:val="CommentTextChar"/>
    <w:semiHidden/>
    <w:unhideWhenUsed/>
    <w:rsid w:val="007E7E75"/>
    <w:rPr>
      <w:sz w:val="20"/>
      <w:szCs w:val="20"/>
    </w:rPr>
  </w:style>
  <w:style w:type="character" w:customStyle="1" w:styleId="CommentTextChar">
    <w:name w:val="Comment Text Char"/>
    <w:basedOn w:val="DefaultParagraphFont"/>
    <w:link w:val="CommentText"/>
    <w:semiHidden/>
    <w:rsid w:val="007E7E75"/>
  </w:style>
  <w:style w:type="paragraph" w:styleId="CommentSubject">
    <w:name w:val="annotation subject"/>
    <w:basedOn w:val="CommentText"/>
    <w:next w:val="CommentText"/>
    <w:link w:val="CommentSubjectChar"/>
    <w:semiHidden/>
    <w:unhideWhenUsed/>
    <w:rsid w:val="007E7E75"/>
    <w:rPr>
      <w:b/>
      <w:bCs/>
    </w:rPr>
  </w:style>
  <w:style w:type="character" w:customStyle="1" w:styleId="CommentSubjectChar">
    <w:name w:val="Comment Subject Char"/>
    <w:basedOn w:val="CommentTextChar"/>
    <w:link w:val="CommentSubject"/>
    <w:semiHidden/>
    <w:rsid w:val="007E7E75"/>
    <w:rPr>
      <w:b/>
      <w:bCs/>
    </w:rPr>
  </w:style>
  <w:style w:type="paragraph" w:styleId="ListParagraph">
    <w:name w:val="List Paragraph"/>
    <w:basedOn w:val="Normal"/>
    <w:uiPriority w:val="34"/>
    <w:qFormat/>
    <w:rsid w:val="001B3089"/>
    <w:pPr>
      <w:ind w:left="720"/>
      <w:contextualSpacing/>
    </w:pPr>
  </w:style>
  <w:style w:type="character" w:styleId="Hyperlink">
    <w:name w:val="Hyperlink"/>
    <w:basedOn w:val="DefaultParagraphFont"/>
    <w:unhideWhenUsed/>
    <w:rsid w:val="00F537B8"/>
    <w:rPr>
      <w:color w:val="0000FF" w:themeColor="hyperlink"/>
      <w:u w:val="single"/>
    </w:rPr>
  </w:style>
  <w:style w:type="paragraph" w:styleId="Revision">
    <w:name w:val="Revision"/>
    <w:hidden/>
    <w:uiPriority w:val="99"/>
    <w:semiHidden/>
    <w:rsid w:val="00B86425"/>
    <w:rPr>
      <w:sz w:val="24"/>
      <w:szCs w:val="24"/>
    </w:rPr>
  </w:style>
  <w:style w:type="character" w:styleId="FollowedHyperlink">
    <w:name w:val="FollowedHyperlink"/>
    <w:basedOn w:val="DefaultParagraphFont"/>
    <w:semiHidden/>
    <w:unhideWhenUsed/>
    <w:rsid w:val="00BE14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733</Words>
  <Characters>3773</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BA - HB03115 (Committee Report (Substituted))</vt:lpstr>
    </vt:vector>
  </TitlesOfParts>
  <Company>State of Texas</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19091</dc:subject>
  <dc:creator>State of Texas</dc:creator>
  <dc:description>HB 3115 by Shine-(H)Business &amp; Industry (Substitute Document Number: 87R 13901)</dc:description>
  <cp:lastModifiedBy>Stacey Nicchio</cp:lastModifiedBy>
  <cp:revision>2</cp:revision>
  <cp:lastPrinted>2003-11-26T17:21:00Z</cp:lastPrinted>
  <dcterms:created xsi:type="dcterms:W3CDTF">2021-04-15T00:53:00Z</dcterms:created>
  <dcterms:modified xsi:type="dcterms:W3CDTF">2021-04-15T00:53:00Z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21.100.122</vt:lpwstr>
  </property>
</Properties>
</file>