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2F3968" w14:paraId="676888AE" w14:textId="77777777" w:rsidTr="00345119">
        <w:tc>
          <w:tcPr>
            <w:tcW w:w="9576" w:type="dxa"/>
            <w:noWrap/>
          </w:tcPr>
          <w:p w14:paraId="44C22740" w14:textId="77777777" w:rsidR="008423E4" w:rsidRPr="0022177D" w:rsidRDefault="00DD3A6F" w:rsidP="00DB3225">
            <w:pPr>
              <w:pStyle w:val="Heading1"/>
            </w:pPr>
            <w:bookmarkStart w:id="0" w:name="_GoBack"/>
            <w:bookmarkEnd w:id="0"/>
            <w:r w:rsidRPr="00631897">
              <w:t>BILL ANALYSIS</w:t>
            </w:r>
          </w:p>
        </w:tc>
      </w:tr>
    </w:tbl>
    <w:p w14:paraId="30507186" w14:textId="77777777" w:rsidR="008423E4" w:rsidRPr="0022177D" w:rsidRDefault="008423E4" w:rsidP="00DB3225">
      <w:pPr>
        <w:jc w:val="center"/>
      </w:pPr>
    </w:p>
    <w:p w14:paraId="191FF441" w14:textId="77777777" w:rsidR="008423E4" w:rsidRPr="00B31F0E" w:rsidRDefault="008423E4" w:rsidP="00DB3225"/>
    <w:p w14:paraId="79EA1B88" w14:textId="77777777" w:rsidR="008423E4" w:rsidRPr="00742794" w:rsidRDefault="008423E4" w:rsidP="00DB3225">
      <w:pPr>
        <w:tabs>
          <w:tab w:val="right" w:pos="9360"/>
        </w:tabs>
      </w:pPr>
    </w:p>
    <w:tbl>
      <w:tblPr>
        <w:tblW w:w="0" w:type="auto"/>
        <w:tblLayout w:type="fixed"/>
        <w:tblLook w:val="01E0" w:firstRow="1" w:lastRow="1" w:firstColumn="1" w:lastColumn="1" w:noHBand="0" w:noVBand="0"/>
      </w:tblPr>
      <w:tblGrid>
        <w:gridCol w:w="9576"/>
      </w:tblGrid>
      <w:tr w:rsidR="002F3968" w14:paraId="1B01A988" w14:textId="77777777" w:rsidTr="00345119">
        <w:tc>
          <w:tcPr>
            <w:tcW w:w="9576" w:type="dxa"/>
          </w:tcPr>
          <w:p w14:paraId="252F19E8" w14:textId="39E2D0B5" w:rsidR="008423E4" w:rsidRPr="00861995" w:rsidRDefault="00DD3A6F" w:rsidP="00DB3225">
            <w:pPr>
              <w:jc w:val="right"/>
            </w:pPr>
            <w:r>
              <w:t>C.S.H.B. 3175</w:t>
            </w:r>
          </w:p>
        </w:tc>
      </w:tr>
      <w:tr w:rsidR="002F3968" w14:paraId="67542135" w14:textId="77777777" w:rsidTr="00345119">
        <w:tc>
          <w:tcPr>
            <w:tcW w:w="9576" w:type="dxa"/>
          </w:tcPr>
          <w:p w14:paraId="29D18E7D" w14:textId="5D03EEFA" w:rsidR="008423E4" w:rsidRPr="00861995" w:rsidRDefault="00DD3A6F" w:rsidP="00FF0D0C">
            <w:pPr>
              <w:jc w:val="right"/>
            </w:pPr>
            <w:r>
              <w:t xml:space="preserve">By: </w:t>
            </w:r>
            <w:r w:rsidR="00FF0D0C">
              <w:t>Morrison</w:t>
            </w:r>
          </w:p>
        </w:tc>
      </w:tr>
      <w:tr w:rsidR="002F3968" w14:paraId="66BD54C6" w14:textId="77777777" w:rsidTr="00345119">
        <w:tc>
          <w:tcPr>
            <w:tcW w:w="9576" w:type="dxa"/>
          </w:tcPr>
          <w:p w14:paraId="218AD941" w14:textId="0ED18B24" w:rsidR="008423E4" w:rsidRPr="00861995" w:rsidRDefault="00DD3A6F" w:rsidP="00DB3225">
            <w:pPr>
              <w:jc w:val="right"/>
            </w:pPr>
            <w:r>
              <w:t>Higher Education</w:t>
            </w:r>
          </w:p>
        </w:tc>
      </w:tr>
      <w:tr w:rsidR="002F3968" w14:paraId="6941A280" w14:textId="77777777" w:rsidTr="00345119">
        <w:tc>
          <w:tcPr>
            <w:tcW w:w="9576" w:type="dxa"/>
          </w:tcPr>
          <w:p w14:paraId="086A18AF" w14:textId="3F43AC1F" w:rsidR="008423E4" w:rsidRDefault="00DD3A6F" w:rsidP="00DB3225">
            <w:pPr>
              <w:jc w:val="right"/>
            </w:pPr>
            <w:r>
              <w:t>Committee Report (Substituted)</w:t>
            </w:r>
          </w:p>
        </w:tc>
      </w:tr>
    </w:tbl>
    <w:p w14:paraId="1603F9CB" w14:textId="77777777" w:rsidR="008423E4" w:rsidRDefault="008423E4" w:rsidP="00DB3225">
      <w:pPr>
        <w:tabs>
          <w:tab w:val="right" w:pos="9360"/>
        </w:tabs>
      </w:pPr>
    </w:p>
    <w:p w14:paraId="3192ACCD" w14:textId="77777777" w:rsidR="008423E4" w:rsidRDefault="008423E4" w:rsidP="00DB3225"/>
    <w:p w14:paraId="62FBF5F5" w14:textId="77777777" w:rsidR="008423E4" w:rsidRDefault="008423E4" w:rsidP="00DB3225"/>
    <w:tbl>
      <w:tblPr>
        <w:tblW w:w="0" w:type="auto"/>
        <w:tblCellMar>
          <w:left w:w="115" w:type="dxa"/>
          <w:right w:w="115" w:type="dxa"/>
        </w:tblCellMar>
        <w:tblLook w:val="01E0" w:firstRow="1" w:lastRow="1" w:firstColumn="1" w:lastColumn="1" w:noHBand="0" w:noVBand="0"/>
      </w:tblPr>
      <w:tblGrid>
        <w:gridCol w:w="9360"/>
      </w:tblGrid>
      <w:tr w:rsidR="002F3968" w14:paraId="3BC50479" w14:textId="77777777" w:rsidTr="00345119">
        <w:tc>
          <w:tcPr>
            <w:tcW w:w="9576" w:type="dxa"/>
          </w:tcPr>
          <w:p w14:paraId="7717AEC3" w14:textId="77777777" w:rsidR="008423E4" w:rsidRPr="00A8133F" w:rsidRDefault="00DD3A6F" w:rsidP="00DB3225">
            <w:pPr>
              <w:rPr>
                <w:b/>
              </w:rPr>
            </w:pPr>
            <w:r w:rsidRPr="009C1E9A">
              <w:rPr>
                <w:b/>
                <w:u w:val="single"/>
              </w:rPr>
              <w:t>BACKGROUND AND PURPOSE</w:t>
            </w:r>
            <w:r>
              <w:rPr>
                <w:b/>
              </w:rPr>
              <w:t xml:space="preserve"> </w:t>
            </w:r>
          </w:p>
          <w:p w14:paraId="62986B38" w14:textId="77777777" w:rsidR="008423E4" w:rsidRDefault="008423E4" w:rsidP="00DB3225"/>
          <w:p w14:paraId="34A487AC" w14:textId="77AE0A9D" w:rsidR="008423E4" w:rsidRDefault="00DD3A6F" w:rsidP="00DB3225">
            <w:pPr>
              <w:pStyle w:val="Header"/>
              <w:tabs>
                <w:tab w:val="clear" w:pos="4320"/>
                <w:tab w:val="clear" w:pos="8640"/>
              </w:tabs>
              <w:jc w:val="both"/>
            </w:pPr>
            <w:r>
              <w:t>There have been calls to bolster funding to support c</w:t>
            </w:r>
            <w:r w:rsidR="00582225">
              <w:t xml:space="preserve">omprehensive </w:t>
            </w:r>
            <w:r>
              <w:t>r</w:t>
            </w:r>
            <w:r w:rsidR="00582225">
              <w:t xml:space="preserve">egional </w:t>
            </w:r>
            <w:r>
              <w:t>u</w:t>
            </w:r>
            <w:r w:rsidR="00582225">
              <w:t>niversities</w:t>
            </w:r>
            <w:r>
              <w:t xml:space="preserve"> in Texas</w:t>
            </w:r>
            <w:r w:rsidR="00582225">
              <w:t>, wh</w:t>
            </w:r>
            <w:r>
              <w:t>ich</w:t>
            </w:r>
            <w:r w:rsidR="00582225">
              <w:t xml:space="preserve"> serve a growing population of at-risk students who </w:t>
            </w:r>
            <w:r>
              <w:t>often</w:t>
            </w:r>
            <w:r w:rsidR="00582225">
              <w:t xml:space="preserve"> require additional academic support. </w:t>
            </w:r>
            <w:r w:rsidR="00FE2F19">
              <w:t>C</w:t>
            </w:r>
            <w:r>
              <w:t>.</w:t>
            </w:r>
            <w:r w:rsidR="00FE2F19">
              <w:t>S</w:t>
            </w:r>
            <w:r>
              <w:t>.</w:t>
            </w:r>
            <w:r w:rsidR="00582225">
              <w:t>H</w:t>
            </w:r>
            <w:r>
              <w:t>.</w:t>
            </w:r>
            <w:r w:rsidR="00582225">
              <w:t>B</w:t>
            </w:r>
            <w:r>
              <w:t>.</w:t>
            </w:r>
            <w:r w:rsidR="00582225">
              <w:t xml:space="preserve"> 3175 creates an outcomes-based funding model focused on student success </w:t>
            </w:r>
            <w:r w:rsidR="00A14D4B">
              <w:t>for providing</w:t>
            </w:r>
            <w:r w:rsidR="00490A51">
              <w:t xml:space="preserve"> funding </w:t>
            </w:r>
            <w:r w:rsidR="00582225">
              <w:t>to each institution of higher education that is designated as a doctoral, comprehensive, or master's university based on the number of degrees awarded to at</w:t>
            </w:r>
            <w:r w:rsidR="0099159E">
              <w:noBreakHyphen/>
            </w:r>
            <w:r w:rsidR="00582225">
              <w:t>risk students by each institution in the three preceding state fiscal years.</w:t>
            </w:r>
          </w:p>
          <w:p w14:paraId="61ACC316" w14:textId="4982A945" w:rsidR="00907193" w:rsidRPr="00E26B13" w:rsidRDefault="00907193" w:rsidP="00DB3225">
            <w:pPr>
              <w:pStyle w:val="Header"/>
              <w:tabs>
                <w:tab w:val="clear" w:pos="4320"/>
                <w:tab w:val="clear" w:pos="8640"/>
              </w:tabs>
              <w:jc w:val="both"/>
              <w:rPr>
                <w:b/>
              </w:rPr>
            </w:pPr>
          </w:p>
        </w:tc>
      </w:tr>
      <w:tr w:rsidR="002F3968" w14:paraId="22F0DA65" w14:textId="77777777" w:rsidTr="00345119">
        <w:tc>
          <w:tcPr>
            <w:tcW w:w="9576" w:type="dxa"/>
          </w:tcPr>
          <w:p w14:paraId="10497BDD" w14:textId="77777777" w:rsidR="0017725B" w:rsidRDefault="00DD3A6F" w:rsidP="00DB3225">
            <w:pPr>
              <w:rPr>
                <w:b/>
                <w:u w:val="single"/>
              </w:rPr>
            </w:pPr>
            <w:r>
              <w:rPr>
                <w:b/>
                <w:u w:val="single"/>
              </w:rPr>
              <w:t>CRIMINAL JUSTICE IMPACT</w:t>
            </w:r>
          </w:p>
          <w:p w14:paraId="6E2181F5" w14:textId="77777777" w:rsidR="0017725B" w:rsidRDefault="0017725B" w:rsidP="00DB3225">
            <w:pPr>
              <w:rPr>
                <w:b/>
                <w:u w:val="single"/>
              </w:rPr>
            </w:pPr>
          </w:p>
          <w:p w14:paraId="16838872" w14:textId="77777777" w:rsidR="0040494C" w:rsidRPr="0040494C" w:rsidRDefault="00DD3A6F" w:rsidP="00DB3225">
            <w:pPr>
              <w:jc w:val="both"/>
            </w:pPr>
            <w:r>
              <w:t>It is the committee's opinion that this bill does not</w:t>
            </w:r>
            <w:r>
              <w:t xml:space="preserve"> expressly create a criminal offense, increase the punishment for an existing criminal offense or category of offenses, or change the eligibility of a person for community supervision, parole, or mandatory supervision.</w:t>
            </w:r>
          </w:p>
          <w:p w14:paraId="4F163B61" w14:textId="77777777" w:rsidR="0017725B" w:rsidRPr="0017725B" w:rsidRDefault="0017725B" w:rsidP="00DB3225">
            <w:pPr>
              <w:rPr>
                <w:b/>
                <w:u w:val="single"/>
              </w:rPr>
            </w:pPr>
          </w:p>
        </w:tc>
      </w:tr>
      <w:tr w:rsidR="002F3968" w14:paraId="52842FA3" w14:textId="77777777" w:rsidTr="00345119">
        <w:tc>
          <w:tcPr>
            <w:tcW w:w="9576" w:type="dxa"/>
          </w:tcPr>
          <w:p w14:paraId="0CF72C96" w14:textId="77777777" w:rsidR="008423E4" w:rsidRPr="00A8133F" w:rsidRDefault="00DD3A6F" w:rsidP="00DB3225">
            <w:pPr>
              <w:rPr>
                <w:b/>
              </w:rPr>
            </w:pPr>
            <w:r w:rsidRPr="009C1E9A">
              <w:rPr>
                <w:b/>
                <w:u w:val="single"/>
              </w:rPr>
              <w:t>RULEMAKING AUTHORITY</w:t>
            </w:r>
            <w:r>
              <w:rPr>
                <w:b/>
              </w:rPr>
              <w:t xml:space="preserve"> </w:t>
            </w:r>
          </w:p>
          <w:p w14:paraId="01762C72" w14:textId="77777777" w:rsidR="008423E4" w:rsidRDefault="008423E4" w:rsidP="00DB3225"/>
          <w:p w14:paraId="2D93BC80" w14:textId="77777777" w:rsidR="0040494C" w:rsidRDefault="00DD3A6F" w:rsidP="00DB3225">
            <w:pPr>
              <w:pStyle w:val="Header"/>
              <w:tabs>
                <w:tab w:val="clear" w:pos="4320"/>
                <w:tab w:val="clear" w:pos="8640"/>
              </w:tabs>
              <w:jc w:val="both"/>
            </w:pPr>
            <w:r>
              <w:t xml:space="preserve">It is the </w:t>
            </w:r>
            <w:r>
              <w:t>committee's opinion that this bill does not expressly grant any additional rulemaking authority to a state officer, department, agency, or institution.</w:t>
            </w:r>
          </w:p>
          <w:p w14:paraId="17B33EFD" w14:textId="77777777" w:rsidR="008423E4" w:rsidRPr="00E21FDC" w:rsidRDefault="008423E4" w:rsidP="00DB3225">
            <w:pPr>
              <w:rPr>
                <w:b/>
              </w:rPr>
            </w:pPr>
          </w:p>
        </w:tc>
      </w:tr>
      <w:tr w:rsidR="002F3968" w14:paraId="65B2D468" w14:textId="77777777" w:rsidTr="00345119">
        <w:tc>
          <w:tcPr>
            <w:tcW w:w="9576" w:type="dxa"/>
          </w:tcPr>
          <w:p w14:paraId="3424597E" w14:textId="77777777" w:rsidR="008423E4" w:rsidRPr="00A8133F" w:rsidRDefault="00DD3A6F" w:rsidP="00DB3225">
            <w:pPr>
              <w:rPr>
                <w:b/>
              </w:rPr>
            </w:pPr>
            <w:r w:rsidRPr="009C1E9A">
              <w:rPr>
                <w:b/>
                <w:u w:val="single"/>
              </w:rPr>
              <w:t>ANALYSIS</w:t>
            </w:r>
            <w:r>
              <w:rPr>
                <w:b/>
              </w:rPr>
              <w:t xml:space="preserve"> </w:t>
            </w:r>
            <w:r w:rsidR="0040494C">
              <w:rPr>
                <w:b/>
              </w:rPr>
              <w:t xml:space="preserve">   </w:t>
            </w:r>
          </w:p>
          <w:p w14:paraId="718A0DB0" w14:textId="77777777" w:rsidR="008423E4" w:rsidRDefault="008423E4" w:rsidP="00DB3225"/>
          <w:p w14:paraId="583C0DC0" w14:textId="20EAA27A" w:rsidR="0040494C" w:rsidRDefault="00DD3A6F" w:rsidP="00DB3225">
            <w:pPr>
              <w:pStyle w:val="Header"/>
              <w:tabs>
                <w:tab w:val="clear" w:pos="4320"/>
                <w:tab w:val="clear" w:pos="8640"/>
              </w:tabs>
              <w:jc w:val="both"/>
            </w:pPr>
            <w:r>
              <w:t xml:space="preserve">C.S.H.B. 3175 amends the Education Code to provide </w:t>
            </w:r>
            <w:r w:rsidR="002F77B0">
              <w:t xml:space="preserve">for the allocation of </w:t>
            </w:r>
            <w:r>
              <w:t xml:space="preserve">funding to </w:t>
            </w:r>
            <w:r w:rsidR="0049209A">
              <w:t xml:space="preserve">each </w:t>
            </w:r>
            <w:r w:rsidR="00F87562">
              <w:t xml:space="preserve">eligible </w:t>
            </w:r>
            <w:r>
              <w:t xml:space="preserve">institution of higher education </w:t>
            </w:r>
            <w:r w:rsidRPr="00522E70">
              <w:t xml:space="preserve">designated as a doctoral, comprehensive, or master's university under </w:t>
            </w:r>
            <w:r>
              <w:t>the Texas Higher Education Coordinating Board (THECB) accountability system. The bill establishes the purposes of its provisions and</w:t>
            </w:r>
            <w:r w:rsidR="00F87562">
              <w:t xml:space="preserve"> entitles an eligible institution to receive for each state fiscal biennium </w:t>
            </w:r>
            <w:r w:rsidR="001C47E1">
              <w:t>an amount equal to the sum of</w:t>
            </w:r>
            <w:r w:rsidR="00305C80">
              <w:t xml:space="preserve"> the following</w:t>
            </w:r>
            <w:r>
              <w:t>:</w:t>
            </w:r>
          </w:p>
          <w:p w14:paraId="12E85F7C" w14:textId="256A0D07" w:rsidR="0040494C" w:rsidRDefault="00DD3A6F" w:rsidP="00DB3225">
            <w:pPr>
              <w:pStyle w:val="Header"/>
              <w:numPr>
                <w:ilvl w:val="0"/>
                <w:numId w:val="1"/>
              </w:numPr>
              <w:jc w:val="both"/>
            </w:pPr>
            <w:r>
              <w:t xml:space="preserve">a base amount of $500,000 or a greater </w:t>
            </w:r>
            <w:r w:rsidR="001C47E1">
              <w:t xml:space="preserve">base </w:t>
            </w:r>
            <w:r>
              <w:t>amount provided by appropriation; and</w:t>
            </w:r>
          </w:p>
          <w:p w14:paraId="77A3DEA0" w14:textId="79731DA8" w:rsidR="0040494C" w:rsidRDefault="00DD3A6F" w:rsidP="00DB3225">
            <w:pPr>
              <w:pStyle w:val="Header"/>
              <w:numPr>
                <w:ilvl w:val="0"/>
                <w:numId w:val="1"/>
              </w:numPr>
              <w:tabs>
                <w:tab w:val="clear" w:pos="4320"/>
                <w:tab w:val="clear" w:pos="8640"/>
              </w:tabs>
              <w:jc w:val="both"/>
            </w:pPr>
            <w:r>
              <w:t>the product of $1,000 or a greater amount provided by appropr</w:t>
            </w:r>
            <w:r>
              <w:t>iation and the average number of at-risk students awarded a degree by the institution each year during the three state fiscal years preceding the biennium.</w:t>
            </w:r>
          </w:p>
          <w:p w14:paraId="64A0A45F" w14:textId="3A14F72A" w:rsidR="0040494C" w:rsidRDefault="00DD3A6F" w:rsidP="00DB3225">
            <w:pPr>
              <w:pStyle w:val="Header"/>
              <w:tabs>
                <w:tab w:val="clear" w:pos="4320"/>
                <w:tab w:val="clear" w:pos="8640"/>
              </w:tabs>
              <w:jc w:val="both"/>
            </w:pPr>
            <w:r>
              <w:t>The bill authorizes an alternative allocation method for this funding to be provided by appropriatio</w:t>
            </w:r>
            <w:r>
              <w:t>n</w:t>
            </w:r>
            <w:r w:rsidR="001C47E1">
              <w:t>.</w:t>
            </w:r>
            <w:r w:rsidR="00305C80">
              <w:t xml:space="preserve"> The bill entitles </w:t>
            </w:r>
            <w:r w:rsidR="00517ECF">
              <w:t>an eligible institution to receive funding beginning with the first state fiscal biennium for which money is appropriated for the purpose of the bill's provisions.</w:t>
            </w:r>
            <w:r>
              <w:t xml:space="preserve"> </w:t>
            </w:r>
          </w:p>
          <w:p w14:paraId="01CEC148" w14:textId="77777777" w:rsidR="0040494C" w:rsidRDefault="0040494C" w:rsidP="00DB3225">
            <w:pPr>
              <w:pStyle w:val="Header"/>
              <w:tabs>
                <w:tab w:val="clear" w:pos="4320"/>
                <w:tab w:val="clear" w:pos="8640"/>
              </w:tabs>
              <w:jc w:val="both"/>
            </w:pPr>
          </w:p>
          <w:p w14:paraId="73D9A8CA" w14:textId="60FDAE04" w:rsidR="009C36CD" w:rsidRPr="009C36CD" w:rsidRDefault="00DD3A6F" w:rsidP="00DB3225">
            <w:pPr>
              <w:pStyle w:val="Header"/>
              <w:tabs>
                <w:tab w:val="clear" w:pos="4320"/>
                <w:tab w:val="clear" w:pos="8640"/>
              </w:tabs>
              <w:jc w:val="both"/>
            </w:pPr>
            <w:r>
              <w:t>C.S.</w:t>
            </w:r>
            <w:r w:rsidR="0040494C">
              <w:t>H.B. 3175 requires the THECB, in consultation with a representative group of eligible institutions, to conduct a study o</w:t>
            </w:r>
            <w:r w:rsidR="00EA5BFA">
              <w:t>n</w:t>
            </w:r>
            <w:r w:rsidR="0040494C">
              <w:t xml:space="preserve"> the</w:t>
            </w:r>
            <w:r w:rsidR="00EA5BFA">
              <w:t xml:space="preserve"> </w:t>
            </w:r>
            <w:r w:rsidR="0040494C">
              <w:t xml:space="preserve">funding method established by the bill to determine its effectiveness in allocating state funds fairly and equitably and in promoting student success at eligible institutions. The bill requires the THECB, not later than September 1, 2022, to submit to the governor and the Legislative Budget Board a report </w:t>
            </w:r>
            <w:r w:rsidR="00EA5BFA">
              <w:t xml:space="preserve">on the results of the study </w:t>
            </w:r>
            <w:r w:rsidR="0040494C">
              <w:t xml:space="preserve">and any recommendations for legislative or other action. The bill's provisions relating to the study and report expire September 1, 2023.     </w:t>
            </w:r>
          </w:p>
          <w:p w14:paraId="6E169DA5" w14:textId="77777777" w:rsidR="008423E4" w:rsidRDefault="008423E4" w:rsidP="00DB3225">
            <w:pPr>
              <w:rPr>
                <w:b/>
              </w:rPr>
            </w:pPr>
          </w:p>
          <w:p w14:paraId="46240782" w14:textId="77777777" w:rsidR="00DB3225" w:rsidRDefault="00DB3225" w:rsidP="00DB3225">
            <w:pPr>
              <w:rPr>
                <w:b/>
              </w:rPr>
            </w:pPr>
          </w:p>
          <w:p w14:paraId="002D5216" w14:textId="1E628F66" w:rsidR="00DB3225" w:rsidRPr="00835628" w:rsidRDefault="00DB3225" w:rsidP="00DB3225">
            <w:pPr>
              <w:rPr>
                <w:b/>
              </w:rPr>
            </w:pPr>
          </w:p>
        </w:tc>
      </w:tr>
      <w:tr w:rsidR="002F3968" w14:paraId="7AF2E85E" w14:textId="77777777" w:rsidTr="00345119">
        <w:tc>
          <w:tcPr>
            <w:tcW w:w="9576" w:type="dxa"/>
          </w:tcPr>
          <w:p w14:paraId="188B7F63" w14:textId="77777777" w:rsidR="008423E4" w:rsidRPr="00A8133F" w:rsidRDefault="00DD3A6F" w:rsidP="00DB3225">
            <w:pPr>
              <w:rPr>
                <w:b/>
              </w:rPr>
            </w:pPr>
            <w:r w:rsidRPr="009C1E9A">
              <w:rPr>
                <w:b/>
                <w:u w:val="single"/>
              </w:rPr>
              <w:t>EFFECTIVE DATE</w:t>
            </w:r>
            <w:r>
              <w:rPr>
                <w:b/>
              </w:rPr>
              <w:t xml:space="preserve"> </w:t>
            </w:r>
          </w:p>
          <w:p w14:paraId="3AA2C684" w14:textId="77777777" w:rsidR="008423E4" w:rsidRDefault="008423E4" w:rsidP="00DB3225"/>
          <w:p w14:paraId="11A68FB8" w14:textId="7F09CCA8" w:rsidR="008423E4" w:rsidRPr="003624F2" w:rsidRDefault="00DD3A6F" w:rsidP="00DB3225">
            <w:pPr>
              <w:pStyle w:val="Header"/>
              <w:tabs>
                <w:tab w:val="clear" w:pos="4320"/>
                <w:tab w:val="clear" w:pos="8640"/>
              </w:tabs>
              <w:jc w:val="both"/>
            </w:pPr>
            <w:r>
              <w:t>September 1, 2021.</w:t>
            </w:r>
          </w:p>
          <w:p w14:paraId="3DE4508C" w14:textId="77777777" w:rsidR="008423E4" w:rsidRPr="00233FDB" w:rsidRDefault="008423E4" w:rsidP="00DB3225">
            <w:pPr>
              <w:rPr>
                <w:b/>
              </w:rPr>
            </w:pPr>
          </w:p>
        </w:tc>
      </w:tr>
      <w:tr w:rsidR="002F3968" w14:paraId="04BEC4E8" w14:textId="77777777" w:rsidTr="00345119">
        <w:tc>
          <w:tcPr>
            <w:tcW w:w="9576" w:type="dxa"/>
          </w:tcPr>
          <w:p w14:paraId="148B1D05" w14:textId="77777777" w:rsidR="00FF0D0C" w:rsidRDefault="00DD3A6F" w:rsidP="00FF0D0C">
            <w:pPr>
              <w:jc w:val="both"/>
              <w:rPr>
                <w:b/>
                <w:u w:val="single"/>
              </w:rPr>
            </w:pPr>
            <w:r>
              <w:rPr>
                <w:b/>
                <w:u w:val="single"/>
              </w:rPr>
              <w:t>COMPARISON OF ORIGINAL AND SUBSTITUTE</w:t>
            </w:r>
          </w:p>
          <w:p w14:paraId="6D698922" w14:textId="710CD66E" w:rsidR="00EA5BFA" w:rsidRPr="00FF0D0C" w:rsidRDefault="00EA5BFA" w:rsidP="00FF0D0C">
            <w:pPr>
              <w:jc w:val="both"/>
              <w:rPr>
                <w:b/>
                <w:u w:val="single"/>
              </w:rPr>
            </w:pPr>
          </w:p>
        </w:tc>
      </w:tr>
      <w:tr w:rsidR="002F3968" w14:paraId="53BC0114" w14:textId="77777777" w:rsidTr="00345119">
        <w:tc>
          <w:tcPr>
            <w:tcW w:w="9576" w:type="dxa"/>
          </w:tcPr>
          <w:p w14:paraId="238E20B2" w14:textId="77777777" w:rsidR="00865B27" w:rsidRDefault="00DD3A6F" w:rsidP="00865B27">
            <w:pPr>
              <w:jc w:val="both"/>
            </w:pPr>
            <w:r>
              <w:t xml:space="preserve">While C.S.H.B. 3175 may differ from the original in minor or nonsubstantive ways, the following summarizes the substantial differences between the introduced and committee substitute versions of the bill. </w:t>
            </w:r>
          </w:p>
          <w:p w14:paraId="1E8904A3" w14:textId="77777777" w:rsidR="00865B27" w:rsidRDefault="00865B27" w:rsidP="00865B27">
            <w:pPr>
              <w:jc w:val="both"/>
            </w:pPr>
          </w:p>
          <w:p w14:paraId="0983AEFE" w14:textId="77777777" w:rsidR="00865B27" w:rsidRDefault="00DD3A6F" w:rsidP="00865B27">
            <w:pPr>
              <w:jc w:val="both"/>
            </w:pPr>
            <w:r>
              <w:t>The substitute replaces the requirement in the or</w:t>
            </w:r>
            <w:r>
              <w:t>iginal for specified amounts of funding to be appropriated in each state fiscal year with an institutional entitlement to specified amounts of funding for each state fiscal biennium. The substitute changes the calculation of the entitlement amounts to refl</w:t>
            </w:r>
            <w:r>
              <w:t xml:space="preserve">ect this change. </w:t>
            </w:r>
          </w:p>
          <w:p w14:paraId="1BDD0E95" w14:textId="77777777" w:rsidR="00865B27" w:rsidRDefault="00865B27" w:rsidP="00865B27">
            <w:pPr>
              <w:jc w:val="both"/>
            </w:pPr>
          </w:p>
          <w:p w14:paraId="0A852879" w14:textId="77777777" w:rsidR="00865B27" w:rsidRDefault="00DD3A6F" w:rsidP="00865B27">
            <w:pPr>
              <w:jc w:val="both"/>
            </w:pPr>
            <w:r>
              <w:t>The substitute does not include a provision in the original establishing that funding for the bill for the state fiscal years ending in 2022 and 2023 is contingent on the legislature providing a specific appropriation for the implementat</w:t>
            </w:r>
            <w:r>
              <w:t>ion of the bill in the general appropriations act of the 87th Legislature. The substitute replaces this provision with an entitlement for eligible institutions to receive funding beginning with the first state fiscal biennium for which money is appropriate</w:t>
            </w:r>
            <w:r>
              <w:t>d for the bill's purposes.</w:t>
            </w:r>
          </w:p>
          <w:p w14:paraId="316E623B" w14:textId="77777777" w:rsidR="00865B27" w:rsidRDefault="00865B27" w:rsidP="00865B27">
            <w:pPr>
              <w:jc w:val="both"/>
            </w:pPr>
          </w:p>
          <w:p w14:paraId="72BB34B7" w14:textId="77777777" w:rsidR="00865B27" w:rsidRDefault="00DD3A6F" w:rsidP="00865B27">
            <w:pPr>
              <w:jc w:val="both"/>
            </w:pPr>
            <w:r>
              <w:t xml:space="preserve">The substitute revises the original's definition of "at-risk student" by omitting a provision qualifying an individual who met the Expected Family Contribution grant program criterion as an at-risk student. </w:t>
            </w:r>
          </w:p>
          <w:p w14:paraId="12E25508" w14:textId="77777777" w:rsidR="00865B27" w:rsidRDefault="00DD3A6F" w:rsidP="00865B27">
            <w:pPr>
              <w:jc w:val="both"/>
            </w:pPr>
            <w:r>
              <w:t xml:space="preserve"> </w:t>
            </w:r>
          </w:p>
          <w:p w14:paraId="604A556F" w14:textId="77777777" w:rsidR="0040494C" w:rsidRDefault="00DD3A6F" w:rsidP="00865B27">
            <w:r>
              <w:t>The substitute cha</w:t>
            </w:r>
            <w:r>
              <w:t>nges the original effective date from on passage or September 1, 2021, if the bill does not receive the necessary vote, to September 1, 2021.</w:t>
            </w:r>
          </w:p>
          <w:p w14:paraId="2594ACF5" w14:textId="227AE906" w:rsidR="00865B27" w:rsidRPr="009C1E9A" w:rsidRDefault="00865B27" w:rsidP="00865B27">
            <w:pPr>
              <w:rPr>
                <w:b/>
                <w:u w:val="single"/>
              </w:rPr>
            </w:pPr>
          </w:p>
        </w:tc>
      </w:tr>
      <w:tr w:rsidR="002F3968" w14:paraId="15EF29A3" w14:textId="77777777" w:rsidTr="00345119">
        <w:tc>
          <w:tcPr>
            <w:tcW w:w="9576" w:type="dxa"/>
          </w:tcPr>
          <w:p w14:paraId="6E824071" w14:textId="77777777" w:rsidR="0040494C" w:rsidRPr="00FF0D0C" w:rsidRDefault="0040494C" w:rsidP="00FF0D0C">
            <w:pPr>
              <w:spacing w:line="480" w:lineRule="auto"/>
              <w:jc w:val="both"/>
            </w:pPr>
          </w:p>
        </w:tc>
      </w:tr>
      <w:tr w:rsidR="002F3968" w14:paraId="0BC01C47" w14:textId="77777777" w:rsidTr="00345119">
        <w:tc>
          <w:tcPr>
            <w:tcW w:w="9576" w:type="dxa"/>
          </w:tcPr>
          <w:p w14:paraId="79AA0CF5" w14:textId="77777777" w:rsidR="00FF0D0C" w:rsidRPr="0040494C" w:rsidRDefault="00FF0D0C" w:rsidP="00DB3225">
            <w:pPr>
              <w:jc w:val="both"/>
            </w:pPr>
          </w:p>
        </w:tc>
      </w:tr>
      <w:tr w:rsidR="002F3968" w14:paraId="4BDE980E" w14:textId="77777777" w:rsidTr="00345119">
        <w:tc>
          <w:tcPr>
            <w:tcW w:w="9576" w:type="dxa"/>
          </w:tcPr>
          <w:p w14:paraId="1EA21A7B" w14:textId="77777777" w:rsidR="00FF0D0C" w:rsidRPr="0040494C" w:rsidRDefault="00FF0D0C" w:rsidP="00DB3225">
            <w:pPr>
              <w:jc w:val="both"/>
            </w:pPr>
          </w:p>
        </w:tc>
      </w:tr>
      <w:tr w:rsidR="002F3968" w14:paraId="6279F334" w14:textId="77777777" w:rsidTr="00345119">
        <w:tc>
          <w:tcPr>
            <w:tcW w:w="9576" w:type="dxa"/>
          </w:tcPr>
          <w:p w14:paraId="2472C846" w14:textId="77777777" w:rsidR="00FF0D0C" w:rsidRPr="0040494C" w:rsidRDefault="00FF0D0C" w:rsidP="00DB3225">
            <w:pPr>
              <w:jc w:val="both"/>
            </w:pPr>
          </w:p>
        </w:tc>
      </w:tr>
    </w:tbl>
    <w:p w14:paraId="131D0BFD" w14:textId="77777777" w:rsidR="008423E4" w:rsidRPr="00BE0E75" w:rsidRDefault="008423E4" w:rsidP="00DB3225">
      <w:pPr>
        <w:jc w:val="both"/>
        <w:rPr>
          <w:rFonts w:ascii="Arial" w:hAnsi="Arial"/>
          <w:sz w:val="16"/>
          <w:szCs w:val="16"/>
        </w:rPr>
      </w:pPr>
    </w:p>
    <w:p w14:paraId="5C619E1C" w14:textId="77777777" w:rsidR="004108C3" w:rsidRPr="008423E4" w:rsidRDefault="004108C3" w:rsidP="00DB3225"/>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7FEBC" w14:textId="77777777" w:rsidR="00000000" w:rsidRDefault="00DD3A6F">
      <w:r>
        <w:separator/>
      </w:r>
    </w:p>
  </w:endnote>
  <w:endnote w:type="continuationSeparator" w:id="0">
    <w:p w14:paraId="1608DB64" w14:textId="77777777" w:rsidR="00000000" w:rsidRDefault="00DD3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D0FD9"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2F3968" w14:paraId="4232DDAD" w14:textId="77777777" w:rsidTr="009C1E9A">
      <w:trPr>
        <w:cantSplit/>
      </w:trPr>
      <w:tc>
        <w:tcPr>
          <w:tcW w:w="0" w:type="pct"/>
        </w:tcPr>
        <w:p w14:paraId="119121E9" w14:textId="77777777" w:rsidR="00137D90" w:rsidRDefault="00137D90" w:rsidP="009C1E9A">
          <w:pPr>
            <w:pStyle w:val="Footer"/>
            <w:tabs>
              <w:tab w:val="clear" w:pos="8640"/>
              <w:tab w:val="right" w:pos="9360"/>
            </w:tabs>
          </w:pPr>
        </w:p>
      </w:tc>
      <w:tc>
        <w:tcPr>
          <w:tcW w:w="2395" w:type="pct"/>
        </w:tcPr>
        <w:p w14:paraId="07CE9907" w14:textId="77777777" w:rsidR="00137D90" w:rsidRDefault="00137D90" w:rsidP="009C1E9A">
          <w:pPr>
            <w:pStyle w:val="Footer"/>
            <w:tabs>
              <w:tab w:val="clear" w:pos="8640"/>
              <w:tab w:val="right" w:pos="9360"/>
            </w:tabs>
          </w:pPr>
        </w:p>
        <w:p w14:paraId="1BD1498F" w14:textId="77777777" w:rsidR="001A4310" w:rsidRDefault="001A4310" w:rsidP="009C1E9A">
          <w:pPr>
            <w:pStyle w:val="Footer"/>
            <w:tabs>
              <w:tab w:val="clear" w:pos="8640"/>
              <w:tab w:val="right" w:pos="9360"/>
            </w:tabs>
          </w:pPr>
        </w:p>
        <w:p w14:paraId="46FFA646" w14:textId="77777777" w:rsidR="00137D90" w:rsidRDefault="00137D90" w:rsidP="009C1E9A">
          <w:pPr>
            <w:pStyle w:val="Footer"/>
            <w:tabs>
              <w:tab w:val="clear" w:pos="8640"/>
              <w:tab w:val="right" w:pos="9360"/>
            </w:tabs>
          </w:pPr>
        </w:p>
      </w:tc>
      <w:tc>
        <w:tcPr>
          <w:tcW w:w="2453" w:type="pct"/>
        </w:tcPr>
        <w:p w14:paraId="589AB587" w14:textId="77777777" w:rsidR="00137D90" w:rsidRDefault="00137D90" w:rsidP="009C1E9A">
          <w:pPr>
            <w:pStyle w:val="Footer"/>
            <w:tabs>
              <w:tab w:val="clear" w:pos="8640"/>
              <w:tab w:val="right" w:pos="9360"/>
            </w:tabs>
            <w:jc w:val="right"/>
          </w:pPr>
        </w:p>
      </w:tc>
    </w:tr>
    <w:tr w:rsidR="002F3968" w14:paraId="2E7A5895" w14:textId="77777777" w:rsidTr="009C1E9A">
      <w:trPr>
        <w:cantSplit/>
      </w:trPr>
      <w:tc>
        <w:tcPr>
          <w:tcW w:w="0" w:type="pct"/>
        </w:tcPr>
        <w:p w14:paraId="346F0353" w14:textId="77777777" w:rsidR="00EC379B" w:rsidRDefault="00EC379B" w:rsidP="009C1E9A">
          <w:pPr>
            <w:pStyle w:val="Footer"/>
            <w:tabs>
              <w:tab w:val="clear" w:pos="8640"/>
              <w:tab w:val="right" w:pos="9360"/>
            </w:tabs>
          </w:pPr>
        </w:p>
      </w:tc>
      <w:tc>
        <w:tcPr>
          <w:tcW w:w="2395" w:type="pct"/>
        </w:tcPr>
        <w:p w14:paraId="21DF59F3" w14:textId="0B366BB8" w:rsidR="00EC379B" w:rsidRPr="009C1E9A" w:rsidRDefault="00DD3A6F" w:rsidP="009C1E9A">
          <w:pPr>
            <w:pStyle w:val="Footer"/>
            <w:tabs>
              <w:tab w:val="clear" w:pos="8640"/>
              <w:tab w:val="right" w:pos="9360"/>
            </w:tabs>
            <w:rPr>
              <w:rFonts w:ascii="Shruti" w:hAnsi="Shruti"/>
              <w:sz w:val="22"/>
            </w:rPr>
          </w:pPr>
          <w:r>
            <w:rPr>
              <w:rFonts w:ascii="Shruti" w:hAnsi="Shruti"/>
              <w:sz w:val="22"/>
            </w:rPr>
            <w:t>87R 21557</w:t>
          </w:r>
        </w:p>
      </w:tc>
      <w:tc>
        <w:tcPr>
          <w:tcW w:w="2453" w:type="pct"/>
        </w:tcPr>
        <w:p w14:paraId="108A8E1B" w14:textId="5081855A" w:rsidR="00EC379B" w:rsidRDefault="00DD3A6F" w:rsidP="009C1E9A">
          <w:pPr>
            <w:pStyle w:val="Footer"/>
            <w:tabs>
              <w:tab w:val="clear" w:pos="8640"/>
              <w:tab w:val="right" w:pos="9360"/>
            </w:tabs>
            <w:jc w:val="right"/>
          </w:pPr>
          <w:r>
            <w:fldChar w:fldCharType="begin"/>
          </w:r>
          <w:r>
            <w:instrText xml:space="preserve"> DOCPROPERTY  OTID  \* MERGEFORMAT </w:instrText>
          </w:r>
          <w:r>
            <w:fldChar w:fldCharType="separate"/>
          </w:r>
          <w:r w:rsidR="000830EB">
            <w:t>21.109.1344</w:t>
          </w:r>
          <w:r>
            <w:fldChar w:fldCharType="end"/>
          </w:r>
        </w:p>
      </w:tc>
    </w:tr>
    <w:tr w:rsidR="002F3968" w14:paraId="2D700579" w14:textId="77777777" w:rsidTr="009C1E9A">
      <w:trPr>
        <w:cantSplit/>
      </w:trPr>
      <w:tc>
        <w:tcPr>
          <w:tcW w:w="0" w:type="pct"/>
        </w:tcPr>
        <w:p w14:paraId="26A51D81" w14:textId="77777777" w:rsidR="00EC379B" w:rsidRDefault="00EC379B" w:rsidP="009C1E9A">
          <w:pPr>
            <w:pStyle w:val="Footer"/>
            <w:tabs>
              <w:tab w:val="clear" w:pos="4320"/>
              <w:tab w:val="clear" w:pos="8640"/>
              <w:tab w:val="left" w:pos="2865"/>
            </w:tabs>
          </w:pPr>
        </w:p>
      </w:tc>
      <w:tc>
        <w:tcPr>
          <w:tcW w:w="2395" w:type="pct"/>
        </w:tcPr>
        <w:p w14:paraId="27699B62" w14:textId="37D1DFD5" w:rsidR="00EC379B" w:rsidRPr="009C1E9A" w:rsidRDefault="00DD3A6F" w:rsidP="009C1E9A">
          <w:pPr>
            <w:pStyle w:val="Footer"/>
            <w:tabs>
              <w:tab w:val="clear" w:pos="4320"/>
              <w:tab w:val="clear" w:pos="8640"/>
              <w:tab w:val="left" w:pos="2865"/>
            </w:tabs>
            <w:rPr>
              <w:rFonts w:ascii="Shruti" w:hAnsi="Shruti"/>
              <w:sz w:val="22"/>
            </w:rPr>
          </w:pPr>
          <w:r>
            <w:rPr>
              <w:rFonts w:ascii="Shruti" w:hAnsi="Shruti"/>
              <w:sz w:val="22"/>
            </w:rPr>
            <w:t>Substitute Document Number: 87R 17194</w:t>
          </w:r>
        </w:p>
      </w:tc>
      <w:tc>
        <w:tcPr>
          <w:tcW w:w="2453" w:type="pct"/>
        </w:tcPr>
        <w:p w14:paraId="197AB6F3" w14:textId="77777777" w:rsidR="00EC379B" w:rsidRDefault="00EC379B" w:rsidP="006D504F">
          <w:pPr>
            <w:pStyle w:val="Footer"/>
            <w:rPr>
              <w:rStyle w:val="PageNumber"/>
            </w:rPr>
          </w:pPr>
        </w:p>
        <w:p w14:paraId="13C95289" w14:textId="77777777" w:rsidR="00EC379B" w:rsidRDefault="00EC379B" w:rsidP="009C1E9A">
          <w:pPr>
            <w:pStyle w:val="Footer"/>
            <w:tabs>
              <w:tab w:val="clear" w:pos="8640"/>
              <w:tab w:val="right" w:pos="9360"/>
            </w:tabs>
            <w:jc w:val="right"/>
          </w:pPr>
        </w:p>
      </w:tc>
    </w:tr>
    <w:tr w:rsidR="002F3968" w14:paraId="0E487E71" w14:textId="77777777" w:rsidTr="009C1E9A">
      <w:trPr>
        <w:cantSplit/>
        <w:trHeight w:val="323"/>
      </w:trPr>
      <w:tc>
        <w:tcPr>
          <w:tcW w:w="0" w:type="pct"/>
          <w:gridSpan w:val="3"/>
        </w:tcPr>
        <w:p w14:paraId="3D8EB32C" w14:textId="6ABBCF20" w:rsidR="00EC379B" w:rsidRDefault="00DD3A6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0830EB">
            <w:rPr>
              <w:rStyle w:val="PageNumber"/>
              <w:noProof/>
            </w:rPr>
            <w:t>2</w:t>
          </w:r>
          <w:r>
            <w:rPr>
              <w:rStyle w:val="PageNumber"/>
            </w:rPr>
            <w:fldChar w:fldCharType="end"/>
          </w:r>
        </w:p>
        <w:p w14:paraId="267C6C03" w14:textId="77777777" w:rsidR="00EC379B" w:rsidRDefault="00EC379B" w:rsidP="009C1E9A">
          <w:pPr>
            <w:pStyle w:val="Footer"/>
            <w:tabs>
              <w:tab w:val="clear" w:pos="8640"/>
              <w:tab w:val="right" w:pos="9360"/>
            </w:tabs>
            <w:jc w:val="center"/>
          </w:pPr>
        </w:p>
      </w:tc>
    </w:tr>
  </w:tbl>
  <w:p w14:paraId="0E27763E"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8EA84"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D4915" w14:textId="77777777" w:rsidR="00000000" w:rsidRDefault="00DD3A6F">
      <w:r>
        <w:separator/>
      </w:r>
    </w:p>
  </w:footnote>
  <w:footnote w:type="continuationSeparator" w:id="0">
    <w:p w14:paraId="39559A05" w14:textId="77777777" w:rsidR="00000000" w:rsidRDefault="00DD3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260EB"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B561A"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FFBDC"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47BD7"/>
    <w:multiLevelType w:val="hybridMultilevel"/>
    <w:tmpl w:val="984E576E"/>
    <w:lvl w:ilvl="0" w:tplc="2BA6E258">
      <w:start w:val="1"/>
      <w:numFmt w:val="bullet"/>
      <w:lvlText w:val=""/>
      <w:lvlJc w:val="left"/>
      <w:pPr>
        <w:tabs>
          <w:tab w:val="num" w:pos="840"/>
        </w:tabs>
        <w:ind w:left="840" w:hanging="360"/>
      </w:pPr>
      <w:rPr>
        <w:rFonts w:ascii="Symbol" w:hAnsi="Symbol" w:hint="default"/>
      </w:rPr>
    </w:lvl>
    <w:lvl w:ilvl="1" w:tplc="0AC0B640" w:tentative="1">
      <w:start w:val="1"/>
      <w:numFmt w:val="bullet"/>
      <w:lvlText w:val="o"/>
      <w:lvlJc w:val="left"/>
      <w:pPr>
        <w:ind w:left="1560" w:hanging="360"/>
      </w:pPr>
      <w:rPr>
        <w:rFonts w:ascii="Courier New" w:hAnsi="Courier New" w:cs="Courier New" w:hint="default"/>
      </w:rPr>
    </w:lvl>
    <w:lvl w:ilvl="2" w:tplc="4EC8B23A" w:tentative="1">
      <w:start w:val="1"/>
      <w:numFmt w:val="bullet"/>
      <w:lvlText w:val=""/>
      <w:lvlJc w:val="left"/>
      <w:pPr>
        <w:ind w:left="2280" w:hanging="360"/>
      </w:pPr>
      <w:rPr>
        <w:rFonts w:ascii="Wingdings" w:hAnsi="Wingdings" w:hint="default"/>
      </w:rPr>
    </w:lvl>
    <w:lvl w:ilvl="3" w:tplc="DBC8022A" w:tentative="1">
      <w:start w:val="1"/>
      <w:numFmt w:val="bullet"/>
      <w:lvlText w:val=""/>
      <w:lvlJc w:val="left"/>
      <w:pPr>
        <w:ind w:left="3000" w:hanging="360"/>
      </w:pPr>
      <w:rPr>
        <w:rFonts w:ascii="Symbol" w:hAnsi="Symbol" w:hint="default"/>
      </w:rPr>
    </w:lvl>
    <w:lvl w:ilvl="4" w:tplc="709441F8" w:tentative="1">
      <w:start w:val="1"/>
      <w:numFmt w:val="bullet"/>
      <w:lvlText w:val="o"/>
      <w:lvlJc w:val="left"/>
      <w:pPr>
        <w:ind w:left="3720" w:hanging="360"/>
      </w:pPr>
      <w:rPr>
        <w:rFonts w:ascii="Courier New" w:hAnsi="Courier New" w:cs="Courier New" w:hint="default"/>
      </w:rPr>
    </w:lvl>
    <w:lvl w:ilvl="5" w:tplc="2AE4D546" w:tentative="1">
      <w:start w:val="1"/>
      <w:numFmt w:val="bullet"/>
      <w:lvlText w:val=""/>
      <w:lvlJc w:val="left"/>
      <w:pPr>
        <w:ind w:left="4440" w:hanging="360"/>
      </w:pPr>
      <w:rPr>
        <w:rFonts w:ascii="Wingdings" w:hAnsi="Wingdings" w:hint="default"/>
      </w:rPr>
    </w:lvl>
    <w:lvl w:ilvl="6" w:tplc="75166CBA" w:tentative="1">
      <w:start w:val="1"/>
      <w:numFmt w:val="bullet"/>
      <w:lvlText w:val=""/>
      <w:lvlJc w:val="left"/>
      <w:pPr>
        <w:ind w:left="5160" w:hanging="360"/>
      </w:pPr>
      <w:rPr>
        <w:rFonts w:ascii="Symbol" w:hAnsi="Symbol" w:hint="default"/>
      </w:rPr>
    </w:lvl>
    <w:lvl w:ilvl="7" w:tplc="7AC074AC" w:tentative="1">
      <w:start w:val="1"/>
      <w:numFmt w:val="bullet"/>
      <w:lvlText w:val="o"/>
      <w:lvlJc w:val="left"/>
      <w:pPr>
        <w:ind w:left="5880" w:hanging="360"/>
      </w:pPr>
      <w:rPr>
        <w:rFonts w:ascii="Courier New" w:hAnsi="Courier New" w:cs="Courier New" w:hint="default"/>
      </w:rPr>
    </w:lvl>
    <w:lvl w:ilvl="8" w:tplc="73866084" w:tentative="1">
      <w:start w:val="1"/>
      <w:numFmt w:val="bullet"/>
      <w:lvlText w:val=""/>
      <w:lvlJc w:val="left"/>
      <w:pPr>
        <w:ind w:left="6600" w:hanging="360"/>
      </w:pPr>
      <w:rPr>
        <w:rFonts w:ascii="Wingdings" w:hAnsi="Wingdings" w:hint="default"/>
      </w:rPr>
    </w:lvl>
  </w:abstractNum>
  <w:abstractNum w:abstractNumId="1" w15:restartNumberingAfterBreak="0">
    <w:nsid w:val="568D1FF4"/>
    <w:multiLevelType w:val="hybridMultilevel"/>
    <w:tmpl w:val="206E7108"/>
    <w:lvl w:ilvl="0" w:tplc="49BABBA4">
      <w:start w:val="1"/>
      <w:numFmt w:val="bullet"/>
      <w:lvlText w:val=""/>
      <w:lvlJc w:val="left"/>
      <w:pPr>
        <w:tabs>
          <w:tab w:val="num" w:pos="720"/>
        </w:tabs>
        <w:ind w:left="720" w:hanging="360"/>
      </w:pPr>
      <w:rPr>
        <w:rFonts w:ascii="Symbol" w:hAnsi="Symbol" w:hint="default"/>
      </w:rPr>
    </w:lvl>
    <w:lvl w:ilvl="1" w:tplc="0EAA10EA" w:tentative="1">
      <w:start w:val="1"/>
      <w:numFmt w:val="bullet"/>
      <w:lvlText w:val="o"/>
      <w:lvlJc w:val="left"/>
      <w:pPr>
        <w:ind w:left="1440" w:hanging="360"/>
      </w:pPr>
      <w:rPr>
        <w:rFonts w:ascii="Courier New" w:hAnsi="Courier New" w:cs="Courier New" w:hint="default"/>
      </w:rPr>
    </w:lvl>
    <w:lvl w:ilvl="2" w:tplc="29E8F69E" w:tentative="1">
      <w:start w:val="1"/>
      <w:numFmt w:val="bullet"/>
      <w:lvlText w:val=""/>
      <w:lvlJc w:val="left"/>
      <w:pPr>
        <w:ind w:left="2160" w:hanging="360"/>
      </w:pPr>
      <w:rPr>
        <w:rFonts w:ascii="Wingdings" w:hAnsi="Wingdings" w:hint="default"/>
      </w:rPr>
    </w:lvl>
    <w:lvl w:ilvl="3" w:tplc="C57A5EBC" w:tentative="1">
      <w:start w:val="1"/>
      <w:numFmt w:val="bullet"/>
      <w:lvlText w:val=""/>
      <w:lvlJc w:val="left"/>
      <w:pPr>
        <w:ind w:left="2880" w:hanging="360"/>
      </w:pPr>
      <w:rPr>
        <w:rFonts w:ascii="Symbol" w:hAnsi="Symbol" w:hint="default"/>
      </w:rPr>
    </w:lvl>
    <w:lvl w:ilvl="4" w:tplc="BF4668EA" w:tentative="1">
      <w:start w:val="1"/>
      <w:numFmt w:val="bullet"/>
      <w:lvlText w:val="o"/>
      <w:lvlJc w:val="left"/>
      <w:pPr>
        <w:ind w:left="3600" w:hanging="360"/>
      </w:pPr>
      <w:rPr>
        <w:rFonts w:ascii="Courier New" w:hAnsi="Courier New" w:cs="Courier New" w:hint="default"/>
      </w:rPr>
    </w:lvl>
    <w:lvl w:ilvl="5" w:tplc="5B52DDBC" w:tentative="1">
      <w:start w:val="1"/>
      <w:numFmt w:val="bullet"/>
      <w:lvlText w:val=""/>
      <w:lvlJc w:val="left"/>
      <w:pPr>
        <w:ind w:left="4320" w:hanging="360"/>
      </w:pPr>
      <w:rPr>
        <w:rFonts w:ascii="Wingdings" w:hAnsi="Wingdings" w:hint="default"/>
      </w:rPr>
    </w:lvl>
    <w:lvl w:ilvl="6" w:tplc="02140F74" w:tentative="1">
      <w:start w:val="1"/>
      <w:numFmt w:val="bullet"/>
      <w:lvlText w:val=""/>
      <w:lvlJc w:val="left"/>
      <w:pPr>
        <w:ind w:left="5040" w:hanging="360"/>
      </w:pPr>
      <w:rPr>
        <w:rFonts w:ascii="Symbol" w:hAnsi="Symbol" w:hint="default"/>
      </w:rPr>
    </w:lvl>
    <w:lvl w:ilvl="7" w:tplc="12CEDAC4" w:tentative="1">
      <w:start w:val="1"/>
      <w:numFmt w:val="bullet"/>
      <w:lvlText w:val="o"/>
      <w:lvlJc w:val="left"/>
      <w:pPr>
        <w:ind w:left="5760" w:hanging="360"/>
      </w:pPr>
      <w:rPr>
        <w:rFonts w:ascii="Courier New" w:hAnsi="Courier New" w:cs="Courier New" w:hint="default"/>
      </w:rPr>
    </w:lvl>
    <w:lvl w:ilvl="8" w:tplc="2152C7E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4C"/>
    <w:rsid w:val="00000A70"/>
    <w:rsid w:val="000032B8"/>
    <w:rsid w:val="00003B06"/>
    <w:rsid w:val="000054B9"/>
    <w:rsid w:val="00007461"/>
    <w:rsid w:val="0001117E"/>
    <w:rsid w:val="0001125F"/>
    <w:rsid w:val="0001338E"/>
    <w:rsid w:val="00013D24"/>
    <w:rsid w:val="0001416C"/>
    <w:rsid w:val="00014AF0"/>
    <w:rsid w:val="000155D6"/>
    <w:rsid w:val="00015D4E"/>
    <w:rsid w:val="00020C1E"/>
    <w:rsid w:val="00020E9B"/>
    <w:rsid w:val="000236C1"/>
    <w:rsid w:val="000236EC"/>
    <w:rsid w:val="0002413D"/>
    <w:rsid w:val="000249F2"/>
    <w:rsid w:val="00024F3D"/>
    <w:rsid w:val="00026933"/>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830EB"/>
    <w:rsid w:val="00090E6B"/>
    <w:rsid w:val="00091B2C"/>
    <w:rsid w:val="00092ABC"/>
    <w:rsid w:val="00095DE8"/>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950"/>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05C76"/>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4A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6B47"/>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47E1"/>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170"/>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DF0"/>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4E85"/>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3968"/>
    <w:rsid w:val="002F4AEC"/>
    <w:rsid w:val="002F77B0"/>
    <w:rsid w:val="002F795D"/>
    <w:rsid w:val="00300823"/>
    <w:rsid w:val="00300D7F"/>
    <w:rsid w:val="00301638"/>
    <w:rsid w:val="00303B0C"/>
    <w:rsid w:val="0030459C"/>
    <w:rsid w:val="003053D9"/>
    <w:rsid w:val="00305C80"/>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6AB1"/>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EE8"/>
    <w:rsid w:val="003B4FA1"/>
    <w:rsid w:val="003B5BAD"/>
    <w:rsid w:val="003B66B6"/>
    <w:rsid w:val="003B7984"/>
    <w:rsid w:val="003B7AF6"/>
    <w:rsid w:val="003C0411"/>
    <w:rsid w:val="003C05ED"/>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0494C"/>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0A51"/>
    <w:rsid w:val="0049209A"/>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461F"/>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17ECF"/>
    <w:rsid w:val="00522E70"/>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768C7"/>
    <w:rsid w:val="00582225"/>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6756"/>
    <w:rsid w:val="00777518"/>
    <w:rsid w:val="0077779E"/>
    <w:rsid w:val="00780FB6"/>
    <w:rsid w:val="007830A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7F7FEB"/>
    <w:rsid w:val="00800C63"/>
    <w:rsid w:val="00802243"/>
    <w:rsid w:val="008023D4"/>
    <w:rsid w:val="00805402"/>
    <w:rsid w:val="0080765F"/>
    <w:rsid w:val="00812BE3"/>
    <w:rsid w:val="00814516"/>
    <w:rsid w:val="00815C9D"/>
    <w:rsid w:val="008170E2"/>
    <w:rsid w:val="00823E4C"/>
    <w:rsid w:val="00827749"/>
    <w:rsid w:val="00827B7E"/>
    <w:rsid w:val="00830A5C"/>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5B27"/>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193"/>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159E"/>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4D4B"/>
    <w:rsid w:val="00A151B5"/>
    <w:rsid w:val="00A220FF"/>
    <w:rsid w:val="00A227E0"/>
    <w:rsid w:val="00A232E4"/>
    <w:rsid w:val="00A24AAD"/>
    <w:rsid w:val="00A26A8A"/>
    <w:rsid w:val="00A27255"/>
    <w:rsid w:val="00A27C29"/>
    <w:rsid w:val="00A30483"/>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67D63"/>
    <w:rsid w:val="00A70E35"/>
    <w:rsid w:val="00A720DC"/>
    <w:rsid w:val="00A77570"/>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3540"/>
    <w:rsid w:val="00AE4F1C"/>
    <w:rsid w:val="00AF1433"/>
    <w:rsid w:val="00AF48B4"/>
    <w:rsid w:val="00AF4923"/>
    <w:rsid w:val="00AF6E78"/>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068C"/>
    <w:rsid w:val="00B43672"/>
    <w:rsid w:val="00B473D8"/>
    <w:rsid w:val="00B5165A"/>
    <w:rsid w:val="00B524C1"/>
    <w:rsid w:val="00B52C8D"/>
    <w:rsid w:val="00B564BF"/>
    <w:rsid w:val="00B6104E"/>
    <w:rsid w:val="00B610C7"/>
    <w:rsid w:val="00B62106"/>
    <w:rsid w:val="00B626A8"/>
    <w:rsid w:val="00B62B2F"/>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5F7"/>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131B4"/>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2EF3"/>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3225"/>
    <w:rsid w:val="00DB53C6"/>
    <w:rsid w:val="00DB59E3"/>
    <w:rsid w:val="00DB6CB6"/>
    <w:rsid w:val="00DB758F"/>
    <w:rsid w:val="00DC1F1B"/>
    <w:rsid w:val="00DC3D8F"/>
    <w:rsid w:val="00DC42E8"/>
    <w:rsid w:val="00DC6DBB"/>
    <w:rsid w:val="00DC7761"/>
    <w:rsid w:val="00DD0022"/>
    <w:rsid w:val="00DD073C"/>
    <w:rsid w:val="00DD128C"/>
    <w:rsid w:val="00DD1B8F"/>
    <w:rsid w:val="00DD3A6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0AE"/>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4BE5"/>
    <w:rsid w:val="00E96852"/>
    <w:rsid w:val="00EA16AC"/>
    <w:rsid w:val="00EA385A"/>
    <w:rsid w:val="00EA3931"/>
    <w:rsid w:val="00EA5BFA"/>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2BFD"/>
    <w:rsid w:val="00F5605D"/>
    <w:rsid w:val="00F6514B"/>
    <w:rsid w:val="00F6587F"/>
    <w:rsid w:val="00F67981"/>
    <w:rsid w:val="00F706CA"/>
    <w:rsid w:val="00F70F8D"/>
    <w:rsid w:val="00F71C5A"/>
    <w:rsid w:val="00F733A4"/>
    <w:rsid w:val="00F7758F"/>
    <w:rsid w:val="00F82811"/>
    <w:rsid w:val="00F84153"/>
    <w:rsid w:val="00F846CD"/>
    <w:rsid w:val="00F85661"/>
    <w:rsid w:val="00F87562"/>
    <w:rsid w:val="00F96602"/>
    <w:rsid w:val="00F9735A"/>
    <w:rsid w:val="00FA32FC"/>
    <w:rsid w:val="00FA59FD"/>
    <w:rsid w:val="00FA5D8C"/>
    <w:rsid w:val="00FA6403"/>
    <w:rsid w:val="00FB16CD"/>
    <w:rsid w:val="00FB73AE"/>
    <w:rsid w:val="00FC5388"/>
    <w:rsid w:val="00FC726C"/>
    <w:rsid w:val="00FD1B4B"/>
    <w:rsid w:val="00FD1B94"/>
    <w:rsid w:val="00FD2DFD"/>
    <w:rsid w:val="00FE19C5"/>
    <w:rsid w:val="00FE2F19"/>
    <w:rsid w:val="00FE4286"/>
    <w:rsid w:val="00FE48C3"/>
    <w:rsid w:val="00FE5909"/>
    <w:rsid w:val="00FE652E"/>
    <w:rsid w:val="00FE71FE"/>
    <w:rsid w:val="00FF0A28"/>
    <w:rsid w:val="00FF0B8B"/>
    <w:rsid w:val="00FF0D0C"/>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F8099C-2EE3-4D4A-B0C1-F03085F1A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40494C"/>
    <w:rPr>
      <w:sz w:val="16"/>
      <w:szCs w:val="16"/>
    </w:rPr>
  </w:style>
  <w:style w:type="paragraph" w:styleId="CommentText">
    <w:name w:val="annotation text"/>
    <w:basedOn w:val="Normal"/>
    <w:link w:val="CommentTextChar"/>
    <w:semiHidden/>
    <w:unhideWhenUsed/>
    <w:rsid w:val="0040494C"/>
    <w:rPr>
      <w:sz w:val="20"/>
      <w:szCs w:val="20"/>
    </w:rPr>
  </w:style>
  <w:style w:type="character" w:customStyle="1" w:styleId="CommentTextChar">
    <w:name w:val="Comment Text Char"/>
    <w:basedOn w:val="DefaultParagraphFont"/>
    <w:link w:val="CommentText"/>
    <w:semiHidden/>
    <w:rsid w:val="0040494C"/>
  </w:style>
  <w:style w:type="paragraph" w:styleId="CommentSubject">
    <w:name w:val="annotation subject"/>
    <w:basedOn w:val="CommentText"/>
    <w:next w:val="CommentText"/>
    <w:link w:val="CommentSubjectChar"/>
    <w:semiHidden/>
    <w:unhideWhenUsed/>
    <w:rsid w:val="0040494C"/>
    <w:rPr>
      <w:b/>
      <w:bCs/>
    </w:rPr>
  </w:style>
  <w:style w:type="character" w:customStyle="1" w:styleId="CommentSubjectChar">
    <w:name w:val="Comment Subject Char"/>
    <w:basedOn w:val="CommentTextChar"/>
    <w:link w:val="CommentSubject"/>
    <w:semiHidden/>
    <w:rsid w:val="0040494C"/>
    <w:rPr>
      <w:b/>
      <w:bCs/>
    </w:rPr>
  </w:style>
  <w:style w:type="paragraph" w:styleId="Revision">
    <w:name w:val="Revision"/>
    <w:hidden/>
    <w:uiPriority w:val="99"/>
    <w:semiHidden/>
    <w:rsid w:val="0040494C"/>
    <w:rPr>
      <w:sz w:val="24"/>
      <w:szCs w:val="24"/>
    </w:rPr>
  </w:style>
  <w:style w:type="paragraph" w:styleId="ListParagraph">
    <w:name w:val="List Paragraph"/>
    <w:basedOn w:val="Normal"/>
    <w:uiPriority w:val="34"/>
    <w:qFormat/>
    <w:rsid w:val="00D131B4"/>
    <w:pPr>
      <w:ind w:left="720"/>
      <w:contextualSpacing/>
    </w:pPr>
  </w:style>
  <w:style w:type="character" w:styleId="Hyperlink">
    <w:name w:val="Hyperlink"/>
    <w:basedOn w:val="DefaultParagraphFont"/>
    <w:uiPriority w:val="99"/>
    <w:semiHidden/>
    <w:unhideWhenUsed/>
    <w:rsid w:val="00490A51"/>
    <w:rPr>
      <w:color w:val="0000FF"/>
      <w:u w:val="single"/>
    </w:rPr>
  </w:style>
  <w:style w:type="paragraph" w:styleId="HTMLPreformatted">
    <w:name w:val="HTML Preformatted"/>
    <w:basedOn w:val="Normal"/>
    <w:link w:val="HTMLPreformattedChar"/>
    <w:uiPriority w:val="99"/>
    <w:semiHidden/>
    <w:unhideWhenUsed/>
    <w:rsid w:val="00A14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14D4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640</Words>
  <Characters>3623</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BA - HB03175 (Committee Report (Substituted))</vt:lpstr>
    </vt:vector>
  </TitlesOfParts>
  <Company>State of Texas</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21557</dc:subject>
  <dc:creator>State of Texas</dc:creator>
  <dc:description>HB 3175 by Morrison-(H)Higher Education (Substitute Document Number: 87R 17194)</dc:description>
  <cp:lastModifiedBy>Lauren Bustamente</cp:lastModifiedBy>
  <cp:revision>2</cp:revision>
  <cp:lastPrinted>2003-11-26T17:21:00Z</cp:lastPrinted>
  <dcterms:created xsi:type="dcterms:W3CDTF">2021-04-20T20:58:00Z</dcterms:created>
  <dcterms:modified xsi:type="dcterms:W3CDTF">2021-04-20T20:58:00Z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21.109.1344</vt:lpwstr>
  </property>
</Properties>
</file>