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424D1" w14:paraId="78B19B3A" w14:textId="77777777" w:rsidTr="00345119">
        <w:tc>
          <w:tcPr>
            <w:tcW w:w="9576" w:type="dxa"/>
            <w:noWrap/>
          </w:tcPr>
          <w:p w14:paraId="20C67635" w14:textId="77777777" w:rsidR="008423E4" w:rsidRPr="0022177D" w:rsidRDefault="00E303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09D0751" w14:textId="77777777" w:rsidR="008423E4" w:rsidRPr="0022177D" w:rsidRDefault="008423E4" w:rsidP="008423E4">
      <w:pPr>
        <w:jc w:val="center"/>
      </w:pPr>
    </w:p>
    <w:p w14:paraId="332E8305" w14:textId="77777777" w:rsidR="008423E4" w:rsidRPr="00B31F0E" w:rsidRDefault="008423E4" w:rsidP="008423E4"/>
    <w:p w14:paraId="1A65336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24D1" w14:paraId="49B916BC" w14:textId="77777777" w:rsidTr="00345119">
        <w:tc>
          <w:tcPr>
            <w:tcW w:w="9576" w:type="dxa"/>
          </w:tcPr>
          <w:p w14:paraId="3772C9EB" w14:textId="2F805280" w:rsidR="008423E4" w:rsidRPr="00861995" w:rsidRDefault="00E303DB" w:rsidP="00345119">
            <w:pPr>
              <w:jc w:val="right"/>
            </w:pPr>
            <w:r>
              <w:t>C.S.H.B. 3276</w:t>
            </w:r>
          </w:p>
        </w:tc>
      </w:tr>
      <w:tr w:rsidR="00B424D1" w14:paraId="01C3C083" w14:textId="77777777" w:rsidTr="00345119">
        <w:tc>
          <w:tcPr>
            <w:tcW w:w="9576" w:type="dxa"/>
          </w:tcPr>
          <w:p w14:paraId="5CAA0662" w14:textId="253EB629" w:rsidR="008423E4" w:rsidRPr="00861995" w:rsidRDefault="00E303DB" w:rsidP="005245D9">
            <w:pPr>
              <w:jc w:val="right"/>
            </w:pPr>
            <w:r>
              <w:t xml:space="preserve">By: </w:t>
            </w:r>
            <w:r w:rsidR="005245D9">
              <w:t>Parker</w:t>
            </w:r>
          </w:p>
        </w:tc>
      </w:tr>
      <w:tr w:rsidR="00B424D1" w14:paraId="68850E5E" w14:textId="77777777" w:rsidTr="00345119">
        <w:tc>
          <w:tcPr>
            <w:tcW w:w="9576" w:type="dxa"/>
          </w:tcPr>
          <w:p w14:paraId="4DBD0C13" w14:textId="396227FC" w:rsidR="008423E4" w:rsidRPr="00861995" w:rsidRDefault="00E303DB" w:rsidP="00345119">
            <w:pPr>
              <w:jc w:val="right"/>
            </w:pPr>
            <w:r>
              <w:t>Elections</w:t>
            </w:r>
          </w:p>
        </w:tc>
      </w:tr>
      <w:tr w:rsidR="00B424D1" w14:paraId="3403CCE6" w14:textId="77777777" w:rsidTr="00345119">
        <w:tc>
          <w:tcPr>
            <w:tcW w:w="9576" w:type="dxa"/>
          </w:tcPr>
          <w:p w14:paraId="53851858" w14:textId="5CC14C58" w:rsidR="008423E4" w:rsidRDefault="00E303DB" w:rsidP="00345119">
            <w:pPr>
              <w:jc w:val="right"/>
            </w:pPr>
            <w:r>
              <w:t>Committee Report (Substituted)</w:t>
            </w:r>
          </w:p>
        </w:tc>
      </w:tr>
    </w:tbl>
    <w:p w14:paraId="10D860BC" w14:textId="77777777" w:rsidR="008423E4" w:rsidRDefault="008423E4" w:rsidP="008423E4">
      <w:pPr>
        <w:tabs>
          <w:tab w:val="right" w:pos="9360"/>
        </w:tabs>
      </w:pPr>
    </w:p>
    <w:p w14:paraId="5803C338" w14:textId="77777777" w:rsidR="008423E4" w:rsidRDefault="008423E4" w:rsidP="008423E4"/>
    <w:p w14:paraId="23651AA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424D1" w14:paraId="3429DD57" w14:textId="77777777" w:rsidTr="00345119">
        <w:tc>
          <w:tcPr>
            <w:tcW w:w="9576" w:type="dxa"/>
          </w:tcPr>
          <w:p w14:paraId="78BC544D" w14:textId="77777777" w:rsidR="008423E4" w:rsidRPr="00A8133F" w:rsidRDefault="00E303DB" w:rsidP="00ED01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FB13CB" w14:textId="77777777" w:rsidR="008423E4" w:rsidRDefault="008423E4" w:rsidP="00ED01EE"/>
          <w:p w14:paraId="1A333C79" w14:textId="6C005AAB" w:rsidR="008423E4" w:rsidRDefault="00E303DB" w:rsidP="00ED0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B70E4">
              <w:t>Counties in various states, including Washington, New Jersey, and Arizona, have provided video displays of their ballot</w:t>
            </w:r>
            <w:r w:rsidR="007544BC">
              <w:t xml:space="preserve"> </w:t>
            </w:r>
            <w:r w:rsidRPr="004B70E4">
              <w:t xml:space="preserve">counting process. </w:t>
            </w:r>
            <w:r w:rsidR="005E7DB1">
              <w:t>It has been</w:t>
            </w:r>
            <w:r w:rsidRPr="004B70E4">
              <w:t xml:space="preserve"> suggested that recording</w:t>
            </w:r>
            <w:r w:rsidR="005E7DB1">
              <w:t xml:space="preserve"> </w:t>
            </w:r>
            <w:r w:rsidR="00E45136">
              <w:t xml:space="preserve">a </w:t>
            </w:r>
            <w:r w:rsidR="005E7DB1">
              <w:t>video of</w:t>
            </w:r>
            <w:r w:rsidR="007F31A3">
              <w:t xml:space="preserve"> the ballot </w:t>
            </w:r>
            <w:r w:rsidRPr="004B70E4">
              <w:t xml:space="preserve">counting process increases voter confidence and instills trust in the electoral system. </w:t>
            </w:r>
            <w:r w:rsidR="005E7DB1">
              <w:t xml:space="preserve">There have been calls to provide for the live video recording of this process in Texas to ensure the integrity of our elections. </w:t>
            </w:r>
            <w:r w:rsidR="00F25D2B">
              <w:t>C.S.</w:t>
            </w:r>
            <w:r w:rsidRPr="004B70E4">
              <w:t>H</w:t>
            </w:r>
            <w:r w:rsidR="005E7DB1">
              <w:t>.</w:t>
            </w:r>
            <w:r w:rsidRPr="004B70E4">
              <w:t>B</w:t>
            </w:r>
            <w:r w:rsidR="005E7DB1">
              <w:t>.</w:t>
            </w:r>
            <w:r w:rsidRPr="004B70E4">
              <w:t xml:space="preserve"> 3276 seeks to</w:t>
            </w:r>
            <w:r w:rsidR="005E7DB1">
              <w:t xml:space="preserve"> </w:t>
            </w:r>
            <w:r w:rsidR="005E7DB1" w:rsidRPr="004B70E4">
              <w:t>provid</w:t>
            </w:r>
            <w:r w:rsidR="007A766E">
              <w:t>e</w:t>
            </w:r>
            <w:r w:rsidR="005E7DB1">
              <w:t xml:space="preserve"> for the implementation of</w:t>
            </w:r>
            <w:r w:rsidR="005E7DB1" w:rsidRPr="004B70E4">
              <w:t xml:space="preserve"> </w:t>
            </w:r>
            <w:r w:rsidRPr="004B70E4">
              <w:t>video surveillance system</w:t>
            </w:r>
            <w:r w:rsidR="00EF3899">
              <w:t>s</w:t>
            </w:r>
            <w:r w:rsidRPr="004B70E4">
              <w:t xml:space="preserve"> </w:t>
            </w:r>
            <w:r w:rsidR="005E7DB1">
              <w:t>t</w:t>
            </w:r>
            <w:r w:rsidR="00EF3899">
              <w:t>hat retain</w:t>
            </w:r>
            <w:r w:rsidR="005E7DB1">
              <w:t xml:space="preserve"> a </w:t>
            </w:r>
            <w:r w:rsidR="00FB6769">
              <w:t xml:space="preserve">video </w:t>
            </w:r>
            <w:r w:rsidR="005E7DB1">
              <w:t xml:space="preserve">record of </w:t>
            </w:r>
            <w:r w:rsidR="00EF3899">
              <w:t xml:space="preserve">all </w:t>
            </w:r>
            <w:r w:rsidR="00FB6769">
              <w:t>ballot counting locations</w:t>
            </w:r>
            <w:r w:rsidRPr="004B70E4">
              <w:t>.</w:t>
            </w:r>
          </w:p>
          <w:p w14:paraId="3AA3ACD3" w14:textId="77777777" w:rsidR="008423E4" w:rsidRPr="00E26B13" w:rsidRDefault="008423E4" w:rsidP="00ED01EE">
            <w:pPr>
              <w:rPr>
                <w:b/>
              </w:rPr>
            </w:pPr>
          </w:p>
        </w:tc>
      </w:tr>
      <w:tr w:rsidR="00B424D1" w14:paraId="3FF51390" w14:textId="77777777" w:rsidTr="00345119">
        <w:tc>
          <w:tcPr>
            <w:tcW w:w="9576" w:type="dxa"/>
          </w:tcPr>
          <w:p w14:paraId="451D1F68" w14:textId="77777777" w:rsidR="0017725B" w:rsidRDefault="00E303DB" w:rsidP="00ED01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4AB998" w14:textId="77777777" w:rsidR="0017725B" w:rsidRDefault="0017725B" w:rsidP="00ED01EE">
            <w:pPr>
              <w:rPr>
                <w:b/>
                <w:u w:val="single"/>
              </w:rPr>
            </w:pPr>
          </w:p>
          <w:p w14:paraId="12BEA369" w14:textId="77777777" w:rsidR="0054043F" w:rsidRPr="0054043F" w:rsidRDefault="00E303DB" w:rsidP="00ED01EE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368FA68C" w14:textId="77777777" w:rsidR="0017725B" w:rsidRPr="0017725B" w:rsidRDefault="0017725B" w:rsidP="00ED01EE">
            <w:pPr>
              <w:rPr>
                <w:b/>
                <w:u w:val="single"/>
              </w:rPr>
            </w:pPr>
          </w:p>
        </w:tc>
      </w:tr>
      <w:tr w:rsidR="00B424D1" w14:paraId="00C1BDB3" w14:textId="77777777" w:rsidTr="00345119">
        <w:tc>
          <w:tcPr>
            <w:tcW w:w="9576" w:type="dxa"/>
          </w:tcPr>
          <w:p w14:paraId="37FC58D3" w14:textId="77777777" w:rsidR="008423E4" w:rsidRPr="00A8133F" w:rsidRDefault="00E303DB" w:rsidP="00ED01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E86480" w14:textId="77777777" w:rsidR="008423E4" w:rsidRDefault="008423E4" w:rsidP="00ED01EE"/>
          <w:p w14:paraId="7C647822" w14:textId="26CC6E54" w:rsidR="0054043F" w:rsidRDefault="00E303DB" w:rsidP="00ED0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rulemaking authority is expressly granted to the secretary of state in SECTION 1 of this bill.</w:t>
            </w:r>
          </w:p>
          <w:p w14:paraId="3561B74C" w14:textId="77777777" w:rsidR="008423E4" w:rsidRPr="00E21FDC" w:rsidRDefault="008423E4" w:rsidP="00ED01EE">
            <w:pPr>
              <w:rPr>
                <w:b/>
              </w:rPr>
            </w:pPr>
          </w:p>
        </w:tc>
      </w:tr>
      <w:tr w:rsidR="00B424D1" w14:paraId="50826512" w14:textId="77777777" w:rsidTr="00345119">
        <w:tc>
          <w:tcPr>
            <w:tcW w:w="9576" w:type="dxa"/>
          </w:tcPr>
          <w:p w14:paraId="23971C66" w14:textId="77777777" w:rsidR="008423E4" w:rsidRPr="00A8133F" w:rsidRDefault="00E303DB" w:rsidP="00ED01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293A83" w14:textId="77777777" w:rsidR="008423E4" w:rsidRDefault="008423E4" w:rsidP="00ED01EE"/>
          <w:p w14:paraId="4957E3C7" w14:textId="2C89EFDC" w:rsidR="00F234AE" w:rsidRDefault="00E303DB" w:rsidP="00ED0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4043F">
              <w:t xml:space="preserve">H.B. 3276 amends the Election Code </w:t>
            </w:r>
            <w:r w:rsidR="00B01D73">
              <w:t xml:space="preserve">to require the general custodian of election records to implement a video surveillance system that retains a record of all areas containing ballots </w:t>
            </w:r>
            <w:r w:rsidR="007A766E">
              <w:t xml:space="preserve">voted </w:t>
            </w:r>
            <w:r w:rsidR="005730C6">
              <w:t>from</w:t>
            </w:r>
            <w:r w:rsidR="00B01D73">
              <w:t xml:space="preserve"> the time </w:t>
            </w:r>
            <w:r w:rsidRPr="004B70E4">
              <w:t xml:space="preserve">the polls close or the time the last voter has voted, whichever is later, </w:t>
            </w:r>
            <w:r w:rsidR="00B01D73">
              <w:t>until the canvass of precinct election returns. The bill</w:t>
            </w:r>
            <w:r>
              <w:t xml:space="preserve"> does the following</w:t>
            </w:r>
            <w:r w:rsidR="007A766E">
              <w:t xml:space="preserve"> with respect to the video recording</w:t>
            </w:r>
            <w:r>
              <w:t>:</w:t>
            </w:r>
          </w:p>
          <w:p w14:paraId="7EB85501" w14:textId="12BFBBD8" w:rsidR="00F234AE" w:rsidRDefault="00E303DB" w:rsidP="00ED01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designates </w:t>
            </w:r>
            <w:r w:rsidR="005730C6">
              <w:t>the recorded video</w:t>
            </w:r>
            <w:r>
              <w:t xml:space="preserve"> as a precinct election record</w:t>
            </w:r>
            <w:r w:rsidR="007A766E">
              <w:t xml:space="preserve"> under provisions relating to the disposition of those records after an election</w:t>
            </w:r>
            <w:r>
              <w:t>;</w:t>
            </w:r>
          </w:p>
          <w:p w14:paraId="61507560" w14:textId="77777777" w:rsidR="00F234AE" w:rsidRDefault="00E303DB" w:rsidP="00ED01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gen</w:t>
            </w:r>
            <w:r>
              <w:t>eral custodian of election records to provide a live video stream of any recorded election activity on the website of the authority administering the election;</w:t>
            </w:r>
          </w:p>
          <w:p w14:paraId="790081D1" w14:textId="6095FBEC" w:rsidR="00F234AE" w:rsidRDefault="00E303DB" w:rsidP="00ED01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the ballots are moved from one location to another, </w:t>
            </w:r>
            <w:r w:rsidR="007A766E">
              <w:t xml:space="preserve">requires the live video stream </w:t>
            </w:r>
            <w:r>
              <w:t>to continu</w:t>
            </w:r>
            <w:r>
              <w:t>e until the transfer is completed; and</w:t>
            </w:r>
          </w:p>
          <w:p w14:paraId="03B6A78C" w14:textId="7C6E3E34" w:rsidR="009C36CD" w:rsidRDefault="00E303DB" w:rsidP="00ED01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secretary of state to adopt rules necessary for the implementation of the</w:t>
            </w:r>
            <w:r w:rsidR="007A766E">
              <w:t xml:space="preserve"> bill's video recording</w:t>
            </w:r>
            <w:r>
              <w:t xml:space="preserve"> pr</w:t>
            </w:r>
            <w:r w:rsidR="007A766E">
              <w:t>o</w:t>
            </w:r>
            <w:r>
              <w:t>visions</w:t>
            </w:r>
            <w:r w:rsidR="00B01D73">
              <w:t>.</w:t>
            </w:r>
          </w:p>
          <w:p w14:paraId="556FE6B4" w14:textId="79602B79" w:rsidR="00F234AE" w:rsidRDefault="00F234AE" w:rsidP="00ED0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70B3BE" w14:textId="565609F8" w:rsidR="00F234AE" w:rsidRPr="009C36CD" w:rsidRDefault="00E303DB" w:rsidP="00ED0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3276</w:t>
            </w:r>
            <w:r w:rsidR="00EF32D5">
              <w:t xml:space="preserve"> requires the guard posted by the general custodian of election records at a central counting station </w:t>
            </w:r>
            <w:r w:rsidR="005209BA">
              <w:t xml:space="preserve">for purposes of ensuring the security of voted ballots </w:t>
            </w:r>
            <w:r w:rsidR="00EF32D5">
              <w:t xml:space="preserve">to be a licensed peace officer and changes the period during which the guard must be posted from throughout the period of tabulation to </w:t>
            </w:r>
            <w:r w:rsidR="005E7DB1">
              <w:t xml:space="preserve">the period lasting </w:t>
            </w:r>
            <w:r w:rsidR="005E7DB1" w:rsidRPr="005E7DB1">
              <w:t>from the time the polls close or the time the last voter has voted, whichever is later, until the canvass of precinct election returns.</w:t>
            </w:r>
          </w:p>
          <w:p w14:paraId="1146499A" w14:textId="77777777" w:rsidR="008423E4" w:rsidRPr="00835628" w:rsidRDefault="008423E4" w:rsidP="00ED01EE">
            <w:pPr>
              <w:rPr>
                <w:b/>
              </w:rPr>
            </w:pPr>
          </w:p>
        </w:tc>
      </w:tr>
      <w:tr w:rsidR="00B424D1" w14:paraId="7EF00134" w14:textId="77777777" w:rsidTr="00345119">
        <w:tc>
          <w:tcPr>
            <w:tcW w:w="9576" w:type="dxa"/>
          </w:tcPr>
          <w:p w14:paraId="356C525C" w14:textId="77777777" w:rsidR="008423E4" w:rsidRPr="00A8133F" w:rsidRDefault="00E303DB" w:rsidP="00ED01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A05FB4" w14:textId="77777777" w:rsidR="008423E4" w:rsidRDefault="008423E4" w:rsidP="00ED01EE"/>
          <w:p w14:paraId="2FA8EF45" w14:textId="4F5FCD87" w:rsidR="008423E4" w:rsidRPr="00ED01EE" w:rsidRDefault="00E303DB" w:rsidP="00ED0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  <w:tr w:rsidR="00B424D1" w14:paraId="7BDDCDAF" w14:textId="77777777" w:rsidTr="00345119">
        <w:tc>
          <w:tcPr>
            <w:tcW w:w="9576" w:type="dxa"/>
          </w:tcPr>
          <w:p w14:paraId="7FF1D436" w14:textId="77777777" w:rsidR="005245D9" w:rsidRDefault="00E303DB" w:rsidP="00ED01E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8F6F0B5" w14:textId="77777777" w:rsidR="004B70E4" w:rsidRDefault="004B70E4" w:rsidP="00ED01EE">
            <w:pPr>
              <w:jc w:val="both"/>
            </w:pPr>
          </w:p>
          <w:p w14:paraId="343DD506" w14:textId="2B389574" w:rsidR="004B70E4" w:rsidRDefault="00E303DB" w:rsidP="00ED01EE">
            <w:pPr>
              <w:jc w:val="both"/>
            </w:pPr>
            <w:r>
              <w:t>While C.S.H.B.</w:t>
            </w:r>
            <w:r>
              <w:t xml:space="preserve"> 3276 may differ from the original in minor or nonsubstantive ways, the following summarizes the substantial differences between the introduced and committee substitute versions of the bill.</w:t>
            </w:r>
          </w:p>
          <w:p w14:paraId="34CA3D23" w14:textId="7E59C35E" w:rsidR="004B70E4" w:rsidRDefault="004B70E4" w:rsidP="00ED01EE">
            <w:pPr>
              <w:jc w:val="both"/>
            </w:pPr>
          </w:p>
          <w:p w14:paraId="54A8F1C5" w14:textId="5F538182" w:rsidR="004B70E4" w:rsidRDefault="00E303DB" w:rsidP="00ED01EE">
            <w:pPr>
              <w:jc w:val="both"/>
            </w:pPr>
            <w:r>
              <w:t xml:space="preserve">The </w:t>
            </w:r>
            <w:r w:rsidR="00450231">
              <w:t>substitute changes the period for which the video surveillance system</w:t>
            </w:r>
            <w:r w:rsidR="00EF3899">
              <w:t xml:space="preserve"> </w:t>
            </w:r>
            <w:r w:rsidR="00450231">
              <w:t xml:space="preserve">must </w:t>
            </w:r>
            <w:r w:rsidR="00EF3899">
              <w:t xml:space="preserve">retain a record of all areas containing voted ballots </w:t>
            </w:r>
            <w:r w:rsidR="00450231">
              <w:t xml:space="preserve">from a period lasting </w:t>
            </w:r>
            <w:r w:rsidR="00EF3899">
              <w:t xml:space="preserve">from the time </w:t>
            </w:r>
            <w:r w:rsidR="00EF3899" w:rsidRPr="00EF3899">
              <w:t>the voted ballots are delivered to the central counting station until the canvass of precinct election returns</w:t>
            </w:r>
            <w:r w:rsidR="00450231">
              <w:t xml:space="preserve">, as in the original, </w:t>
            </w:r>
            <w:r w:rsidR="00EF3899">
              <w:t xml:space="preserve">to a period lasting </w:t>
            </w:r>
            <w:r w:rsidR="00EF3899" w:rsidRPr="00EF3899">
              <w:t xml:space="preserve">from the time the polls close or the time the last voter has voted, whichever is later, until the canvass of precinct election returns.  </w:t>
            </w:r>
          </w:p>
          <w:p w14:paraId="43C78120" w14:textId="19466920" w:rsidR="00EF3899" w:rsidRDefault="00EF3899" w:rsidP="00ED01EE">
            <w:pPr>
              <w:jc w:val="both"/>
            </w:pPr>
          </w:p>
          <w:p w14:paraId="3D3B9E55" w14:textId="0F4593D1" w:rsidR="00EF3899" w:rsidRDefault="00E303DB" w:rsidP="00ED01EE">
            <w:pPr>
              <w:jc w:val="both"/>
            </w:pPr>
            <w:r>
              <w:t>Whereas the original designated the recorded video as an election record under provisions relating to public inspect</w:t>
            </w:r>
            <w:r>
              <w:t>ion of election records and required its</w:t>
            </w:r>
            <w:r w:rsidR="00FB6769">
              <w:t xml:space="preserve"> retention by the </w:t>
            </w:r>
            <w:r>
              <w:t>general custodian of election records until the end of the calendar year in which the election is held</w:t>
            </w:r>
            <w:r w:rsidR="00FB6769">
              <w:t>, the substitute designates the video as a precinct election record</w:t>
            </w:r>
            <w:r>
              <w:t xml:space="preserve"> under provisions relating to</w:t>
            </w:r>
            <w:r>
              <w:t xml:space="preserve"> the disposition of those records after an election</w:t>
            </w:r>
            <w:r w:rsidR="00FB6769">
              <w:t>.</w:t>
            </w:r>
          </w:p>
          <w:p w14:paraId="674ED426" w14:textId="69C9845C" w:rsidR="00FB6769" w:rsidRDefault="00FB6769" w:rsidP="00ED01EE">
            <w:pPr>
              <w:jc w:val="both"/>
            </w:pPr>
          </w:p>
          <w:p w14:paraId="72E7A75E" w14:textId="65C74979" w:rsidR="00FB6769" w:rsidRDefault="00E303DB" w:rsidP="00ED01EE">
            <w:pPr>
              <w:jc w:val="both"/>
            </w:pPr>
            <w:r>
              <w:t>The substitute includes the following requirements, which were absent from the original:</w:t>
            </w:r>
          </w:p>
          <w:p w14:paraId="63B7A973" w14:textId="3089FAAC" w:rsidR="00FB6769" w:rsidRDefault="00E303DB" w:rsidP="00ED01E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 requirement for the general custodian of election records to provide a live video stream of any recorded electi</w:t>
            </w:r>
            <w:r>
              <w:t>on activity on the website of the authority administering the election;</w:t>
            </w:r>
          </w:p>
          <w:p w14:paraId="17EC7FB7" w14:textId="139F1FF3" w:rsidR="00FB6769" w:rsidRDefault="00E303DB" w:rsidP="00ED01E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 requirement for the live video stream, if the ballots are moved from one location to another, to continue until the transfer is completed; and</w:t>
            </w:r>
          </w:p>
          <w:p w14:paraId="525C61F4" w14:textId="6F33DA26" w:rsidR="00FB6769" w:rsidRDefault="00E303DB" w:rsidP="00ED01E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 requirement for the secretary of stat</w:t>
            </w:r>
            <w:r>
              <w:t>e to adopt rules necessary for the implementation of video recording of counting stations.</w:t>
            </w:r>
          </w:p>
          <w:p w14:paraId="3344E0A3" w14:textId="1BB33112" w:rsidR="00FB6769" w:rsidRDefault="00FB6769" w:rsidP="00ED01EE">
            <w:pPr>
              <w:jc w:val="both"/>
            </w:pPr>
          </w:p>
          <w:p w14:paraId="446E50FC" w14:textId="70D194EB" w:rsidR="00FB6769" w:rsidRDefault="00E303DB" w:rsidP="00ED01EE">
            <w:pPr>
              <w:jc w:val="both"/>
            </w:pPr>
            <w:r>
              <w:t xml:space="preserve">While both the original and substitute require </w:t>
            </w:r>
            <w:r w:rsidRPr="00FB6769">
              <w:t>the guard posted by the general custodian of election records at a central counting station to be a licensed peace</w:t>
            </w:r>
            <w:r w:rsidR="00DA185D">
              <w:t>, the substitute changes the period throughout which the guard must be posted</w:t>
            </w:r>
            <w:r w:rsidR="00164DCB">
              <w:t xml:space="preserve">, whereas the original </w:t>
            </w:r>
            <w:r w:rsidR="006443FB">
              <w:t xml:space="preserve">did </w:t>
            </w:r>
            <w:r w:rsidR="00164DCB">
              <w:t>not change this period</w:t>
            </w:r>
            <w:r w:rsidR="00DA185D" w:rsidRPr="00DA185D">
              <w:t>.</w:t>
            </w:r>
          </w:p>
          <w:p w14:paraId="0A305948" w14:textId="4D85BB55" w:rsidR="004B70E4" w:rsidRPr="004B70E4" w:rsidRDefault="004B70E4" w:rsidP="00ED01EE">
            <w:pPr>
              <w:jc w:val="both"/>
            </w:pPr>
          </w:p>
        </w:tc>
      </w:tr>
      <w:tr w:rsidR="00B424D1" w14:paraId="6017DDC5" w14:textId="77777777" w:rsidTr="00345119">
        <w:tc>
          <w:tcPr>
            <w:tcW w:w="9576" w:type="dxa"/>
          </w:tcPr>
          <w:p w14:paraId="4A70AFDF" w14:textId="77777777" w:rsidR="005245D9" w:rsidRPr="009C1E9A" w:rsidRDefault="005245D9" w:rsidP="00ED01EE">
            <w:pPr>
              <w:rPr>
                <w:b/>
                <w:u w:val="single"/>
              </w:rPr>
            </w:pPr>
          </w:p>
        </w:tc>
      </w:tr>
      <w:tr w:rsidR="00B424D1" w14:paraId="74E458FE" w14:textId="77777777" w:rsidTr="00345119">
        <w:tc>
          <w:tcPr>
            <w:tcW w:w="9576" w:type="dxa"/>
          </w:tcPr>
          <w:p w14:paraId="4537487A" w14:textId="77777777" w:rsidR="005245D9" w:rsidRPr="005245D9" w:rsidRDefault="005245D9" w:rsidP="00ED01EE">
            <w:pPr>
              <w:jc w:val="both"/>
            </w:pPr>
          </w:p>
        </w:tc>
      </w:tr>
    </w:tbl>
    <w:p w14:paraId="586B319C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35B021E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02E2" w14:textId="77777777" w:rsidR="00000000" w:rsidRDefault="00E303DB">
      <w:r>
        <w:separator/>
      </w:r>
    </w:p>
  </w:endnote>
  <w:endnote w:type="continuationSeparator" w:id="0">
    <w:p w14:paraId="3632C8B3" w14:textId="77777777" w:rsidR="00000000" w:rsidRDefault="00E3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FBC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24D1" w14:paraId="5521997E" w14:textId="77777777" w:rsidTr="009C1E9A">
      <w:trPr>
        <w:cantSplit/>
      </w:trPr>
      <w:tc>
        <w:tcPr>
          <w:tcW w:w="0" w:type="pct"/>
        </w:tcPr>
        <w:p w14:paraId="1CA38B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2E4E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82DA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1771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6CFC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4D1" w14:paraId="6699F7AE" w14:textId="77777777" w:rsidTr="009C1E9A">
      <w:trPr>
        <w:cantSplit/>
      </w:trPr>
      <w:tc>
        <w:tcPr>
          <w:tcW w:w="0" w:type="pct"/>
        </w:tcPr>
        <w:p w14:paraId="050A62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782989" w14:textId="594698AD" w:rsidR="00EC379B" w:rsidRPr="009C1E9A" w:rsidRDefault="00E303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21092</w:t>
          </w:r>
        </w:p>
      </w:tc>
      <w:tc>
        <w:tcPr>
          <w:tcW w:w="2453" w:type="pct"/>
        </w:tcPr>
        <w:p w14:paraId="6EDE70CA" w14:textId="334ADC08" w:rsidR="00EC379B" w:rsidRDefault="00E303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53720">
            <w:t>21.110.366</w:t>
          </w:r>
          <w:r>
            <w:fldChar w:fldCharType="end"/>
          </w:r>
        </w:p>
      </w:tc>
    </w:tr>
    <w:tr w:rsidR="00B424D1" w14:paraId="5E02A19F" w14:textId="77777777" w:rsidTr="009C1E9A">
      <w:trPr>
        <w:cantSplit/>
      </w:trPr>
      <w:tc>
        <w:tcPr>
          <w:tcW w:w="0" w:type="pct"/>
        </w:tcPr>
        <w:p w14:paraId="3BBFC99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A69275" w14:textId="1FF9C5BF" w:rsidR="00EC379B" w:rsidRPr="009C1E9A" w:rsidRDefault="00E303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19364</w:t>
          </w:r>
        </w:p>
      </w:tc>
      <w:tc>
        <w:tcPr>
          <w:tcW w:w="2453" w:type="pct"/>
        </w:tcPr>
        <w:p w14:paraId="5C4D671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7906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4D1" w14:paraId="5C73970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FF2B21" w14:textId="336537FF" w:rsidR="00EC379B" w:rsidRDefault="00E303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01E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92646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75920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EC8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D9CF" w14:textId="77777777" w:rsidR="00000000" w:rsidRDefault="00E303DB">
      <w:r>
        <w:separator/>
      </w:r>
    </w:p>
  </w:footnote>
  <w:footnote w:type="continuationSeparator" w:id="0">
    <w:p w14:paraId="17A171C5" w14:textId="77777777" w:rsidR="00000000" w:rsidRDefault="00E3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EAF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3C6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51E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0D"/>
    <w:multiLevelType w:val="hybridMultilevel"/>
    <w:tmpl w:val="46BC1F60"/>
    <w:lvl w:ilvl="0" w:tplc="E2880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CF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EA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8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A6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E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82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5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0C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66F"/>
    <w:multiLevelType w:val="hybridMultilevel"/>
    <w:tmpl w:val="1CF2F99A"/>
    <w:lvl w:ilvl="0" w:tplc="043270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04CDCA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ADED60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34A736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0D2A44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846FA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57619C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F58F0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3028D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F"/>
    <w:rsid w:val="00000A70"/>
    <w:rsid w:val="0000186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8E1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DCB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5D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45D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3720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D92"/>
    <w:rsid w:val="00447018"/>
    <w:rsid w:val="00450231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0E4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17B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9BA"/>
    <w:rsid w:val="005245D9"/>
    <w:rsid w:val="005269CE"/>
    <w:rsid w:val="005304B2"/>
    <w:rsid w:val="005336BD"/>
    <w:rsid w:val="00534A49"/>
    <w:rsid w:val="005363BB"/>
    <w:rsid w:val="0054043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0C6"/>
    <w:rsid w:val="00573401"/>
    <w:rsid w:val="00574862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DB1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3F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CA4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4BC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66E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1A3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211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75F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45E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D73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4D1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96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97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85D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937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3DB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136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1EE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2D5"/>
    <w:rsid w:val="00EF3899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4AE"/>
    <w:rsid w:val="00F25CC2"/>
    <w:rsid w:val="00F25D2B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76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E66CAB-0392-4856-97DA-3299EBA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5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5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59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5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5968"/>
    <w:rPr>
      <w:b/>
      <w:bCs/>
    </w:rPr>
  </w:style>
  <w:style w:type="paragraph" w:styleId="ListParagraph">
    <w:name w:val="List Paragraph"/>
    <w:basedOn w:val="Normal"/>
    <w:uiPriority w:val="34"/>
    <w:qFormat/>
    <w:rsid w:val="00FB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3835</Characters>
  <Application>Microsoft Office Word</Application>
  <DocSecurity>4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HB03276 (Committee Report (Substituted))</vt:lpstr>
    </vt:vector>
  </TitlesOfParts>
  <Company>State of Texas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21092</dc:subject>
  <dc:creator>State of Texas</dc:creator>
  <dc:description>HB 3276 by Parker-(H)Elections (Substitute Document Number: 87R 19364)</dc:description>
  <cp:lastModifiedBy>Stacey Nicchio</cp:lastModifiedBy>
  <cp:revision>2</cp:revision>
  <cp:lastPrinted>2003-11-26T17:21:00Z</cp:lastPrinted>
  <dcterms:created xsi:type="dcterms:W3CDTF">2021-04-26T17:35:00Z</dcterms:created>
  <dcterms:modified xsi:type="dcterms:W3CDTF">2021-04-26T17:35:00Z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21.110.366</vt:lpwstr>
  </property>
</Properties>
</file>