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746BEE" w14:paraId="01FB3E2D" w14:textId="77777777" w:rsidTr="00345119">
        <w:tc>
          <w:tcPr>
            <w:tcW w:w="9576" w:type="dxa"/>
            <w:noWrap/>
          </w:tcPr>
          <w:p w14:paraId="6EA318CC" w14:textId="77777777" w:rsidR="008423E4" w:rsidRPr="0022177D" w:rsidRDefault="0033501B" w:rsidP="003D2C9C">
            <w:pPr>
              <w:pStyle w:val="Heading1"/>
              <w:contextualSpacing/>
            </w:pPr>
            <w:bookmarkStart w:id="0" w:name="_GoBack"/>
            <w:bookmarkEnd w:id="0"/>
            <w:r w:rsidRPr="00631897">
              <w:t>BILL ANALYSIS</w:t>
            </w:r>
          </w:p>
        </w:tc>
      </w:tr>
    </w:tbl>
    <w:p w14:paraId="1E8D05C3" w14:textId="77777777" w:rsidR="008423E4" w:rsidRPr="0022177D" w:rsidRDefault="008423E4" w:rsidP="003D2C9C">
      <w:pPr>
        <w:contextualSpacing/>
        <w:jc w:val="center"/>
      </w:pPr>
    </w:p>
    <w:p w14:paraId="2322D346" w14:textId="77777777" w:rsidR="008423E4" w:rsidRPr="00B31F0E" w:rsidRDefault="008423E4" w:rsidP="003D2C9C">
      <w:pPr>
        <w:contextualSpacing/>
      </w:pPr>
    </w:p>
    <w:p w14:paraId="0A0FEF36" w14:textId="77777777" w:rsidR="008423E4" w:rsidRPr="00742794" w:rsidRDefault="008423E4" w:rsidP="003D2C9C">
      <w:pPr>
        <w:tabs>
          <w:tab w:val="right" w:pos="9360"/>
        </w:tabs>
        <w:contextualSpacing/>
      </w:pPr>
    </w:p>
    <w:tbl>
      <w:tblPr>
        <w:tblW w:w="0" w:type="auto"/>
        <w:tblLayout w:type="fixed"/>
        <w:tblLook w:val="01E0" w:firstRow="1" w:lastRow="1" w:firstColumn="1" w:lastColumn="1" w:noHBand="0" w:noVBand="0"/>
      </w:tblPr>
      <w:tblGrid>
        <w:gridCol w:w="9576"/>
      </w:tblGrid>
      <w:tr w:rsidR="00746BEE" w14:paraId="044DFE08" w14:textId="77777777" w:rsidTr="00345119">
        <w:tc>
          <w:tcPr>
            <w:tcW w:w="9576" w:type="dxa"/>
          </w:tcPr>
          <w:p w14:paraId="2058A8BC" w14:textId="1C7E8D5E" w:rsidR="008423E4" w:rsidRPr="00861995" w:rsidRDefault="0033501B" w:rsidP="003D2C9C">
            <w:pPr>
              <w:contextualSpacing/>
              <w:jc w:val="right"/>
            </w:pPr>
            <w:r>
              <w:t>C.S.H.B. 3334</w:t>
            </w:r>
          </w:p>
        </w:tc>
      </w:tr>
      <w:tr w:rsidR="00746BEE" w14:paraId="75878EDC" w14:textId="77777777" w:rsidTr="00345119">
        <w:tc>
          <w:tcPr>
            <w:tcW w:w="9576" w:type="dxa"/>
          </w:tcPr>
          <w:p w14:paraId="3F172231" w14:textId="62093D54" w:rsidR="008423E4" w:rsidRPr="00861995" w:rsidRDefault="0033501B" w:rsidP="003D2C9C">
            <w:pPr>
              <w:contextualSpacing/>
              <w:jc w:val="right"/>
            </w:pPr>
            <w:r>
              <w:t xml:space="preserve">By: </w:t>
            </w:r>
            <w:r w:rsidR="009333FA">
              <w:t>Turner, John</w:t>
            </w:r>
          </w:p>
        </w:tc>
      </w:tr>
      <w:tr w:rsidR="00746BEE" w14:paraId="18890E04" w14:textId="77777777" w:rsidTr="00345119">
        <w:tc>
          <w:tcPr>
            <w:tcW w:w="9576" w:type="dxa"/>
          </w:tcPr>
          <w:p w14:paraId="6C807EB0" w14:textId="39EEC383" w:rsidR="008423E4" w:rsidRPr="00861995" w:rsidRDefault="0033501B" w:rsidP="003D2C9C">
            <w:pPr>
              <w:contextualSpacing/>
              <w:jc w:val="right"/>
            </w:pPr>
            <w:r>
              <w:t>Judiciary &amp; Civil Jurisprudence</w:t>
            </w:r>
          </w:p>
        </w:tc>
      </w:tr>
      <w:tr w:rsidR="00746BEE" w14:paraId="4EF9C237" w14:textId="77777777" w:rsidTr="00345119">
        <w:tc>
          <w:tcPr>
            <w:tcW w:w="9576" w:type="dxa"/>
          </w:tcPr>
          <w:p w14:paraId="5CEB6E77" w14:textId="57A225F4" w:rsidR="008423E4" w:rsidRDefault="0033501B" w:rsidP="003D2C9C">
            <w:pPr>
              <w:contextualSpacing/>
              <w:jc w:val="right"/>
            </w:pPr>
            <w:r>
              <w:t>Committee Report (Substituted)</w:t>
            </w:r>
          </w:p>
        </w:tc>
      </w:tr>
    </w:tbl>
    <w:p w14:paraId="5E9CA2E7" w14:textId="77777777" w:rsidR="008423E4" w:rsidRDefault="008423E4" w:rsidP="003D2C9C">
      <w:pPr>
        <w:tabs>
          <w:tab w:val="right" w:pos="9360"/>
        </w:tabs>
        <w:contextualSpacing/>
      </w:pPr>
    </w:p>
    <w:p w14:paraId="3A22597A" w14:textId="77777777" w:rsidR="008423E4" w:rsidRDefault="008423E4" w:rsidP="003D2C9C">
      <w:pPr>
        <w:contextualSpacing/>
      </w:pPr>
    </w:p>
    <w:p w14:paraId="52CF63D4" w14:textId="77777777" w:rsidR="008423E4" w:rsidRDefault="008423E4" w:rsidP="003D2C9C">
      <w:pPr>
        <w:contextualSpacing/>
      </w:pPr>
    </w:p>
    <w:tbl>
      <w:tblPr>
        <w:tblW w:w="0" w:type="auto"/>
        <w:tblCellMar>
          <w:left w:w="115" w:type="dxa"/>
          <w:right w:w="115" w:type="dxa"/>
        </w:tblCellMar>
        <w:tblLook w:val="01E0" w:firstRow="1" w:lastRow="1" w:firstColumn="1" w:lastColumn="1" w:noHBand="0" w:noVBand="0"/>
      </w:tblPr>
      <w:tblGrid>
        <w:gridCol w:w="9360"/>
      </w:tblGrid>
      <w:tr w:rsidR="00746BEE" w14:paraId="41045DFE" w14:textId="77777777" w:rsidTr="007E7971">
        <w:tc>
          <w:tcPr>
            <w:tcW w:w="9360" w:type="dxa"/>
          </w:tcPr>
          <w:p w14:paraId="793592EE" w14:textId="77777777" w:rsidR="008423E4" w:rsidRPr="00A8133F" w:rsidRDefault="0033501B" w:rsidP="003D2C9C">
            <w:pPr>
              <w:contextualSpacing/>
              <w:rPr>
                <w:b/>
              </w:rPr>
            </w:pPr>
            <w:r w:rsidRPr="009C1E9A">
              <w:rPr>
                <w:b/>
                <w:u w:val="single"/>
              </w:rPr>
              <w:t>BACKGROUND AND PURPOSE</w:t>
            </w:r>
            <w:r>
              <w:rPr>
                <w:b/>
              </w:rPr>
              <w:t xml:space="preserve"> </w:t>
            </w:r>
          </w:p>
          <w:p w14:paraId="1752A947" w14:textId="77777777" w:rsidR="008423E4" w:rsidRDefault="008423E4" w:rsidP="003D2C9C">
            <w:pPr>
              <w:contextualSpacing/>
            </w:pPr>
          </w:p>
          <w:p w14:paraId="5934C329" w14:textId="7624BE9D" w:rsidR="008423E4" w:rsidRDefault="0033501B" w:rsidP="003D2C9C">
            <w:pPr>
              <w:pStyle w:val="Header"/>
              <w:tabs>
                <w:tab w:val="clear" w:pos="4320"/>
                <w:tab w:val="clear" w:pos="8640"/>
              </w:tabs>
              <w:contextualSpacing/>
              <w:jc w:val="both"/>
            </w:pPr>
            <w:r w:rsidRPr="00425246">
              <w:t xml:space="preserve">Sentencing data is largely inaccessible to the public and there is no statewide depository for this information. While the </w:t>
            </w:r>
            <w:r w:rsidR="00FE1195">
              <w:t xml:space="preserve">Office of Court Administration (OCA) </w:t>
            </w:r>
            <w:r w:rsidRPr="00425246">
              <w:t xml:space="preserve">is already in the process of introducing a standardized case management system, </w:t>
            </w:r>
            <w:r w:rsidR="00AC25FA">
              <w:t xml:space="preserve">it has been suggested that </w:t>
            </w:r>
            <w:r w:rsidR="00FE1195">
              <w:t xml:space="preserve">OCA should also create </w:t>
            </w:r>
            <w:r w:rsidR="00AC25FA">
              <w:t xml:space="preserve">a </w:t>
            </w:r>
            <w:r w:rsidR="00FE1195">
              <w:t xml:space="preserve">public </w:t>
            </w:r>
            <w:r w:rsidR="00AC25FA">
              <w:t xml:space="preserve">database </w:t>
            </w:r>
            <w:r w:rsidR="00FE1195">
              <w:t>for sentencing information available to the public in order to</w:t>
            </w:r>
            <w:r w:rsidRPr="00425246">
              <w:t xml:space="preserve"> allow policymakers and the public to utilize this data. </w:t>
            </w:r>
            <w:r>
              <w:t>C</w:t>
            </w:r>
            <w:r w:rsidR="00AC25FA">
              <w:t>.</w:t>
            </w:r>
            <w:r>
              <w:t>S</w:t>
            </w:r>
            <w:r w:rsidR="00AC25FA">
              <w:t>.</w:t>
            </w:r>
            <w:r>
              <w:t>H</w:t>
            </w:r>
            <w:r w:rsidR="00AC25FA">
              <w:t>.</w:t>
            </w:r>
            <w:r>
              <w:t>B</w:t>
            </w:r>
            <w:r w:rsidR="00AC25FA">
              <w:t>.</w:t>
            </w:r>
            <w:r>
              <w:t xml:space="preserve"> 3334</w:t>
            </w:r>
            <w:r w:rsidR="00AC25FA">
              <w:t xml:space="preserve"> provides for </w:t>
            </w:r>
            <w:r>
              <w:t>a digital database of sentencing information.</w:t>
            </w:r>
          </w:p>
          <w:p w14:paraId="582FE8D7" w14:textId="77777777" w:rsidR="008423E4" w:rsidRPr="00E26B13" w:rsidRDefault="008423E4" w:rsidP="003D2C9C">
            <w:pPr>
              <w:contextualSpacing/>
              <w:rPr>
                <w:b/>
              </w:rPr>
            </w:pPr>
          </w:p>
        </w:tc>
      </w:tr>
      <w:tr w:rsidR="00746BEE" w14:paraId="1A7F0EFE" w14:textId="77777777" w:rsidTr="007E7971">
        <w:tc>
          <w:tcPr>
            <w:tcW w:w="9360" w:type="dxa"/>
          </w:tcPr>
          <w:p w14:paraId="5F96A39A" w14:textId="77777777" w:rsidR="0017725B" w:rsidRDefault="0033501B" w:rsidP="003D2C9C">
            <w:pPr>
              <w:contextualSpacing/>
              <w:rPr>
                <w:b/>
                <w:u w:val="single"/>
              </w:rPr>
            </w:pPr>
            <w:r>
              <w:rPr>
                <w:b/>
                <w:u w:val="single"/>
              </w:rPr>
              <w:t>CRIMINAL J</w:t>
            </w:r>
            <w:r>
              <w:rPr>
                <w:b/>
                <w:u w:val="single"/>
              </w:rPr>
              <w:t>USTICE IMPACT</w:t>
            </w:r>
          </w:p>
          <w:p w14:paraId="310F2BFB" w14:textId="77777777" w:rsidR="0017725B" w:rsidRDefault="0017725B" w:rsidP="003D2C9C">
            <w:pPr>
              <w:contextualSpacing/>
              <w:rPr>
                <w:b/>
                <w:u w:val="single"/>
              </w:rPr>
            </w:pPr>
          </w:p>
          <w:p w14:paraId="2E16F847" w14:textId="77777777" w:rsidR="00377F9A" w:rsidRPr="00377F9A" w:rsidRDefault="0033501B" w:rsidP="003D2C9C">
            <w:pPr>
              <w:contextualSpacing/>
              <w:jc w:val="both"/>
            </w:pPr>
            <w:r>
              <w:t>It is the committee's opinion that this bill does not expressly create a criminal offense, increase the punishment for an existing criminal offense or category of offenses, or change the eligibility of a person for community supervision, par</w:t>
            </w:r>
            <w:r>
              <w:t>ole, or mandatory supervision.</w:t>
            </w:r>
          </w:p>
          <w:p w14:paraId="423F8932" w14:textId="77777777" w:rsidR="0017725B" w:rsidRPr="0017725B" w:rsidRDefault="0017725B" w:rsidP="003D2C9C">
            <w:pPr>
              <w:contextualSpacing/>
              <w:rPr>
                <w:b/>
                <w:u w:val="single"/>
              </w:rPr>
            </w:pPr>
          </w:p>
        </w:tc>
      </w:tr>
      <w:tr w:rsidR="00746BEE" w14:paraId="5351AB6D" w14:textId="77777777" w:rsidTr="007E7971">
        <w:tc>
          <w:tcPr>
            <w:tcW w:w="9360" w:type="dxa"/>
          </w:tcPr>
          <w:p w14:paraId="176EF939" w14:textId="77777777" w:rsidR="008423E4" w:rsidRPr="00A8133F" w:rsidRDefault="0033501B" w:rsidP="003D2C9C">
            <w:pPr>
              <w:contextualSpacing/>
              <w:rPr>
                <w:b/>
              </w:rPr>
            </w:pPr>
            <w:r w:rsidRPr="009C1E9A">
              <w:rPr>
                <w:b/>
                <w:u w:val="single"/>
              </w:rPr>
              <w:t>RULEMAKING AUTHORITY</w:t>
            </w:r>
            <w:r>
              <w:rPr>
                <w:b/>
              </w:rPr>
              <w:t xml:space="preserve"> </w:t>
            </w:r>
          </w:p>
          <w:p w14:paraId="175BB61C" w14:textId="77777777" w:rsidR="008423E4" w:rsidRDefault="008423E4" w:rsidP="003D2C9C">
            <w:pPr>
              <w:contextualSpacing/>
            </w:pPr>
          </w:p>
          <w:p w14:paraId="3465FEB4" w14:textId="77777777" w:rsidR="00377F9A" w:rsidRDefault="0033501B" w:rsidP="003D2C9C">
            <w:pPr>
              <w:pStyle w:val="Header"/>
              <w:tabs>
                <w:tab w:val="clear" w:pos="4320"/>
                <w:tab w:val="clear" w:pos="8640"/>
              </w:tabs>
              <w:contextualSpacing/>
              <w:jc w:val="both"/>
            </w:pPr>
            <w:r>
              <w:t>It is the committee's opinion that rulemaking authority is expressly granted to t</w:t>
            </w:r>
            <w:r w:rsidRPr="00377F9A">
              <w:t xml:space="preserve">he Office of Court Administration of the Texas Judicial System </w:t>
            </w:r>
            <w:r>
              <w:t>in SECTION 1 of this bill.</w:t>
            </w:r>
          </w:p>
          <w:p w14:paraId="47E91183" w14:textId="77777777" w:rsidR="008423E4" w:rsidRPr="00E21FDC" w:rsidRDefault="008423E4" w:rsidP="003D2C9C">
            <w:pPr>
              <w:contextualSpacing/>
              <w:rPr>
                <w:b/>
              </w:rPr>
            </w:pPr>
          </w:p>
        </w:tc>
      </w:tr>
      <w:tr w:rsidR="00746BEE" w14:paraId="78B0CCB8" w14:textId="77777777" w:rsidTr="007E7971">
        <w:tc>
          <w:tcPr>
            <w:tcW w:w="9360" w:type="dxa"/>
          </w:tcPr>
          <w:p w14:paraId="7F2A5075" w14:textId="77777777" w:rsidR="008423E4" w:rsidRPr="00A8133F" w:rsidRDefault="0033501B" w:rsidP="003D2C9C">
            <w:pPr>
              <w:contextualSpacing/>
              <w:rPr>
                <w:b/>
              </w:rPr>
            </w:pPr>
            <w:r w:rsidRPr="009C1E9A">
              <w:rPr>
                <w:b/>
                <w:u w:val="single"/>
              </w:rPr>
              <w:t>ANALYSIS</w:t>
            </w:r>
            <w:r>
              <w:rPr>
                <w:b/>
              </w:rPr>
              <w:t xml:space="preserve"> </w:t>
            </w:r>
          </w:p>
          <w:p w14:paraId="155D8CDF" w14:textId="77777777" w:rsidR="008423E4" w:rsidRDefault="008423E4" w:rsidP="003D2C9C">
            <w:pPr>
              <w:contextualSpacing/>
            </w:pPr>
          </w:p>
          <w:p w14:paraId="40F1FDEF" w14:textId="162888B4" w:rsidR="00220815" w:rsidRDefault="0033501B" w:rsidP="003D2C9C">
            <w:pPr>
              <w:pStyle w:val="Header"/>
              <w:tabs>
                <w:tab w:val="clear" w:pos="4320"/>
                <w:tab w:val="clear" w:pos="8640"/>
              </w:tabs>
              <w:contextualSpacing/>
              <w:jc w:val="both"/>
            </w:pPr>
            <w:r>
              <w:t>C.S.</w:t>
            </w:r>
            <w:r w:rsidR="00545175">
              <w:t xml:space="preserve">H.B. 3334 amends the Government Code to require the </w:t>
            </w:r>
            <w:r w:rsidR="00545175" w:rsidRPr="00545175">
              <w:t>Office of Court Administration of the Texas Judicial System</w:t>
            </w:r>
            <w:r w:rsidR="00545175">
              <w:t xml:space="preserve"> (OCA) to create and maintain </w:t>
            </w:r>
            <w:r w:rsidR="00621F36">
              <w:t>a</w:t>
            </w:r>
            <w:r w:rsidR="00621F36" w:rsidRPr="00545175">
              <w:t xml:space="preserve"> </w:t>
            </w:r>
            <w:r w:rsidR="00545175" w:rsidRPr="00545175">
              <w:t>criminal justice system sentencing database</w:t>
            </w:r>
            <w:r w:rsidR="00D248EF">
              <w:t xml:space="preserve"> t</w:t>
            </w:r>
            <w:r w:rsidR="00D248EF" w:rsidRPr="00D248EF">
              <w:t>o collect, compile, and analyze data regardi</w:t>
            </w:r>
            <w:r w:rsidR="00D248EF">
              <w:t xml:space="preserve">ng the sentencing of </w:t>
            </w:r>
            <w:r w:rsidR="00B4550F">
              <w:t xml:space="preserve">each defendant </w:t>
            </w:r>
            <w:r w:rsidR="00B4550F" w:rsidRPr="00B4550F">
              <w:t>who has been convicted of a Class B misdemeanor or any higher category of offense</w:t>
            </w:r>
            <w:r w:rsidR="00A81723">
              <w:t>.</w:t>
            </w:r>
            <w:r w:rsidR="00B4550F">
              <w:t xml:space="preserve"> </w:t>
            </w:r>
            <w:r w:rsidR="008B1B8D">
              <w:t>The bill expressly does not require information main</w:t>
            </w:r>
            <w:r w:rsidR="00697ED2">
              <w:t xml:space="preserve">tained in the database to </w:t>
            </w:r>
            <w:r w:rsidR="00697ED2" w:rsidRPr="00697ED2">
              <w:t>be removed from the database following an order of expunction issued with respect to that information.</w:t>
            </w:r>
            <w:r w:rsidR="00697ED2">
              <w:t xml:space="preserve"> </w:t>
            </w:r>
            <w:r w:rsidR="00545175">
              <w:t>The bill requires the</w:t>
            </w:r>
            <w:r w:rsidR="00545175" w:rsidRPr="00545175">
              <w:t xml:space="preserve"> clerk of </w:t>
            </w:r>
            <w:r w:rsidR="00697ED2">
              <w:t xml:space="preserve">the sentencing court, on disposition </w:t>
            </w:r>
            <w:r w:rsidR="00697ED2" w:rsidRPr="00697ED2">
              <w:t>of a defendant's case</w:t>
            </w:r>
            <w:r w:rsidR="00697ED2">
              <w:t>,</w:t>
            </w:r>
            <w:r w:rsidR="00545175" w:rsidRPr="00545175">
              <w:t xml:space="preserve"> </w:t>
            </w:r>
            <w:r w:rsidR="00545175">
              <w:t>to</w:t>
            </w:r>
            <w:r w:rsidR="00545175" w:rsidRPr="00545175">
              <w:t xml:space="preserve"> </w:t>
            </w:r>
            <w:r w:rsidR="00545175">
              <w:t>submit to OCA</w:t>
            </w:r>
            <w:r w:rsidR="00545175" w:rsidRPr="00545175">
              <w:t>, within t</w:t>
            </w:r>
            <w:r w:rsidR="00545175">
              <w:t>he time period prescribed by OCA</w:t>
            </w:r>
            <w:r w:rsidR="00545175" w:rsidRPr="00545175">
              <w:t xml:space="preserve">, a written record of </w:t>
            </w:r>
            <w:r w:rsidR="004431DF">
              <w:t xml:space="preserve">the required </w:t>
            </w:r>
            <w:r w:rsidR="00545175" w:rsidRPr="00545175">
              <w:t xml:space="preserve">data </w:t>
            </w:r>
            <w:r w:rsidR="004431DF">
              <w:t>with respect to the defendant's case</w:t>
            </w:r>
            <w:r w:rsidR="00D248EF">
              <w:t>.</w:t>
            </w:r>
            <w:r w:rsidR="00FA4DA3">
              <w:t xml:space="preserve"> </w:t>
            </w:r>
            <w:r w:rsidR="00EF49D1">
              <w:t>A</w:t>
            </w:r>
            <w:r w:rsidR="00FA4DA3">
              <w:t xml:space="preserve"> </w:t>
            </w:r>
            <w:r w:rsidR="002C377D">
              <w:t xml:space="preserve">court </w:t>
            </w:r>
            <w:r w:rsidR="00FA4DA3">
              <w:t xml:space="preserve">is not required to submit such information </w:t>
            </w:r>
            <w:r w:rsidR="00FA4DA3" w:rsidRPr="00FA4DA3">
              <w:t>regarding any sentencing that occurred before January 1, 2022.</w:t>
            </w:r>
          </w:p>
          <w:p w14:paraId="2C111A43" w14:textId="264A9EDC" w:rsidR="001106C1" w:rsidRDefault="001106C1" w:rsidP="003D2C9C">
            <w:pPr>
              <w:pStyle w:val="Header"/>
              <w:tabs>
                <w:tab w:val="clear" w:pos="4320"/>
                <w:tab w:val="clear" w:pos="8640"/>
              </w:tabs>
              <w:contextualSpacing/>
              <w:jc w:val="both"/>
            </w:pPr>
          </w:p>
          <w:p w14:paraId="17BD2329" w14:textId="739625E3" w:rsidR="001106C1" w:rsidRDefault="0033501B" w:rsidP="003D2C9C">
            <w:pPr>
              <w:pStyle w:val="Header"/>
              <w:tabs>
                <w:tab w:val="clear" w:pos="4320"/>
                <w:tab w:val="clear" w:pos="8640"/>
              </w:tabs>
              <w:contextualSpacing/>
              <w:jc w:val="both"/>
            </w:pPr>
            <w:r>
              <w:t>C.S.H.B. 3334 requires OCA to compile data for the database related to the following:</w:t>
            </w:r>
          </w:p>
          <w:p w14:paraId="2584BF21" w14:textId="11907588" w:rsidR="001106C1" w:rsidRDefault="0033501B" w:rsidP="00FD37C0">
            <w:pPr>
              <w:pStyle w:val="Header"/>
              <w:numPr>
                <w:ilvl w:val="0"/>
                <w:numId w:val="3"/>
              </w:numPr>
              <w:tabs>
                <w:tab w:val="clear" w:pos="4320"/>
                <w:tab w:val="clear" w:pos="8640"/>
              </w:tabs>
              <w:contextualSpacing/>
              <w:jc w:val="both"/>
            </w:pPr>
            <w:r>
              <w:t>information about the about the age and home zip code of the</w:t>
            </w:r>
            <w:r>
              <w:t xml:space="preserve"> defendant;</w:t>
            </w:r>
          </w:p>
          <w:p w14:paraId="095B4E29" w14:textId="77777777" w:rsidR="00204CA0" w:rsidRDefault="0033501B" w:rsidP="00FD37C0">
            <w:pPr>
              <w:pStyle w:val="Header"/>
              <w:numPr>
                <w:ilvl w:val="0"/>
                <w:numId w:val="3"/>
              </w:numPr>
              <w:tabs>
                <w:tab w:val="clear" w:pos="4320"/>
                <w:tab w:val="clear" w:pos="8640"/>
              </w:tabs>
              <w:contextualSpacing/>
              <w:jc w:val="both"/>
            </w:pPr>
            <w:r>
              <w:t>the defendant's indigence</w:t>
            </w:r>
            <w:r w:rsidR="003D507C">
              <w:t xml:space="preserve"> status</w:t>
            </w:r>
          </w:p>
          <w:p w14:paraId="696D03F9" w14:textId="721C367D" w:rsidR="001106C1" w:rsidRDefault="0033501B" w:rsidP="00FD37C0">
            <w:pPr>
              <w:pStyle w:val="Header"/>
              <w:numPr>
                <w:ilvl w:val="0"/>
                <w:numId w:val="3"/>
              </w:numPr>
              <w:tabs>
                <w:tab w:val="clear" w:pos="4320"/>
                <w:tab w:val="clear" w:pos="8640"/>
              </w:tabs>
              <w:contextualSpacing/>
              <w:jc w:val="both"/>
            </w:pPr>
            <w:r>
              <w:t>the defendant's</w:t>
            </w:r>
            <w:r w:rsidR="003D507C">
              <w:t xml:space="preserve"> </w:t>
            </w:r>
            <w:r>
              <w:t>race, ethnicity, and gender;</w:t>
            </w:r>
          </w:p>
          <w:p w14:paraId="093C98D1" w14:textId="4A606F7D" w:rsidR="001106C1" w:rsidRDefault="0033501B" w:rsidP="00FD37C0">
            <w:pPr>
              <w:pStyle w:val="Header"/>
              <w:numPr>
                <w:ilvl w:val="0"/>
                <w:numId w:val="3"/>
              </w:numPr>
              <w:tabs>
                <w:tab w:val="clear" w:pos="4320"/>
                <w:tab w:val="clear" w:pos="8640"/>
              </w:tabs>
              <w:contextualSpacing/>
              <w:jc w:val="both"/>
            </w:pPr>
            <w:r>
              <w:t>with respect to the offenses for which the defendant was sentenced:</w:t>
            </w:r>
          </w:p>
          <w:p w14:paraId="58CDC9B1" w14:textId="366D3167" w:rsidR="001106C1" w:rsidRDefault="0033501B" w:rsidP="00FD37C0">
            <w:pPr>
              <w:pStyle w:val="Header"/>
              <w:numPr>
                <w:ilvl w:val="1"/>
                <w:numId w:val="3"/>
              </w:numPr>
              <w:tabs>
                <w:tab w:val="clear" w:pos="4320"/>
                <w:tab w:val="clear" w:pos="8640"/>
              </w:tabs>
              <w:contextualSpacing/>
              <w:jc w:val="both"/>
            </w:pPr>
            <w:r>
              <w:t>each offense and category of the offense;</w:t>
            </w:r>
          </w:p>
          <w:p w14:paraId="0C8F5178" w14:textId="33D41FFC" w:rsidR="003F32BF" w:rsidRDefault="0033501B" w:rsidP="00FD37C0">
            <w:pPr>
              <w:pStyle w:val="Header"/>
              <w:numPr>
                <w:ilvl w:val="1"/>
                <w:numId w:val="3"/>
              </w:numPr>
              <w:tabs>
                <w:tab w:val="clear" w:pos="4320"/>
                <w:tab w:val="clear" w:pos="8640"/>
              </w:tabs>
              <w:contextualSpacing/>
              <w:jc w:val="both"/>
            </w:pPr>
            <w:r>
              <w:t>the provision of law under which the defendant was sente</w:t>
            </w:r>
            <w:r>
              <w:t>nced;</w:t>
            </w:r>
          </w:p>
          <w:p w14:paraId="6BDBCD47" w14:textId="4D89365A" w:rsidR="003F32BF" w:rsidRDefault="0033501B" w:rsidP="00FD37C0">
            <w:pPr>
              <w:pStyle w:val="Header"/>
              <w:numPr>
                <w:ilvl w:val="1"/>
                <w:numId w:val="3"/>
              </w:numPr>
              <w:tabs>
                <w:tab w:val="clear" w:pos="4320"/>
                <w:tab w:val="clear" w:pos="8640"/>
              </w:tabs>
              <w:contextualSpacing/>
              <w:jc w:val="both"/>
            </w:pPr>
            <w:r>
              <w:t>the date on which the offense and related sentencing occurred;</w:t>
            </w:r>
          </w:p>
          <w:p w14:paraId="0F27CD5A" w14:textId="294D4E73" w:rsidR="003F32BF" w:rsidRDefault="0033501B" w:rsidP="00FD37C0">
            <w:pPr>
              <w:pStyle w:val="Header"/>
              <w:numPr>
                <w:ilvl w:val="0"/>
                <w:numId w:val="3"/>
              </w:numPr>
              <w:tabs>
                <w:tab w:val="clear" w:pos="4320"/>
                <w:tab w:val="clear" w:pos="8640"/>
              </w:tabs>
              <w:contextualSpacing/>
              <w:jc w:val="both"/>
            </w:pPr>
            <w:r w:rsidRPr="003F32BF">
              <w:t>the length of</w:t>
            </w:r>
            <w:r>
              <w:t xml:space="preserve"> imprisonment, probation, and any</w:t>
            </w:r>
            <w:r w:rsidRPr="003F32BF">
              <w:t xml:space="preserve"> community supervision</w:t>
            </w:r>
            <w:r>
              <w:t>;</w:t>
            </w:r>
          </w:p>
          <w:p w14:paraId="5C0BC968" w14:textId="5D2F11E4" w:rsidR="003F32BF" w:rsidRDefault="0033501B" w:rsidP="00FD37C0">
            <w:pPr>
              <w:pStyle w:val="Header"/>
              <w:numPr>
                <w:ilvl w:val="0"/>
                <w:numId w:val="3"/>
              </w:numPr>
              <w:tabs>
                <w:tab w:val="clear" w:pos="4320"/>
                <w:tab w:val="clear" w:pos="8640"/>
              </w:tabs>
              <w:contextualSpacing/>
              <w:jc w:val="both"/>
            </w:pPr>
            <w:r>
              <w:t>whether</w:t>
            </w:r>
            <w:r w:rsidR="00D55A57">
              <w:t xml:space="preserve"> any multiple sentences were ordered to be served consecutively or concurrently;</w:t>
            </w:r>
          </w:p>
          <w:p w14:paraId="71CE3E7A" w14:textId="23A7F539" w:rsidR="00D55A57" w:rsidRDefault="0033501B" w:rsidP="00FD37C0">
            <w:pPr>
              <w:pStyle w:val="Header"/>
              <w:numPr>
                <w:ilvl w:val="0"/>
                <w:numId w:val="3"/>
              </w:numPr>
              <w:tabs>
                <w:tab w:val="clear" w:pos="4320"/>
                <w:tab w:val="clear" w:pos="8640"/>
              </w:tabs>
              <w:contextualSpacing/>
              <w:jc w:val="both"/>
            </w:pPr>
            <w:r>
              <w:t>court fees, fines, or restitu</w:t>
            </w:r>
            <w:r>
              <w:t>tion assessed;</w:t>
            </w:r>
          </w:p>
          <w:p w14:paraId="7D775F19" w14:textId="31A8CCEB" w:rsidR="00D55A57" w:rsidRDefault="0033501B" w:rsidP="00FD37C0">
            <w:pPr>
              <w:pStyle w:val="Header"/>
              <w:numPr>
                <w:ilvl w:val="0"/>
                <w:numId w:val="3"/>
              </w:numPr>
              <w:tabs>
                <w:tab w:val="clear" w:pos="4320"/>
                <w:tab w:val="clear" w:pos="8640"/>
              </w:tabs>
              <w:contextualSpacing/>
              <w:jc w:val="both"/>
            </w:pPr>
            <w:r>
              <w:t>charges brought against the defendant;</w:t>
            </w:r>
          </w:p>
          <w:p w14:paraId="741D3D1A" w14:textId="74ECBEEB" w:rsidR="00D55A57" w:rsidRDefault="0033501B" w:rsidP="00FD37C0">
            <w:pPr>
              <w:pStyle w:val="Header"/>
              <w:numPr>
                <w:ilvl w:val="0"/>
                <w:numId w:val="3"/>
              </w:numPr>
              <w:tabs>
                <w:tab w:val="clear" w:pos="4320"/>
                <w:tab w:val="clear" w:pos="8640"/>
              </w:tabs>
              <w:contextualSpacing/>
              <w:jc w:val="both"/>
            </w:pPr>
            <w:r>
              <w:t>any enhancements applied;</w:t>
            </w:r>
          </w:p>
          <w:p w14:paraId="3965407F" w14:textId="55E9C81A" w:rsidR="00D55A57" w:rsidRDefault="0033501B" w:rsidP="00FD37C0">
            <w:pPr>
              <w:pStyle w:val="Header"/>
              <w:numPr>
                <w:ilvl w:val="0"/>
                <w:numId w:val="3"/>
              </w:numPr>
              <w:tabs>
                <w:tab w:val="clear" w:pos="4320"/>
                <w:tab w:val="clear" w:pos="8640"/>
              </w:tabs>
              <w:contextualSpacing/>
              <w:jc w:val="both"/>
            </w:pPr>
            <w:r>
              <w:t>the amount and type of any bail;</w:t>
            </w:r>
          </w:p>
          <w:p w14:paraId="04AE69C3" w14:textId="44EAC5A9" w:rsidR="00D55A57" w:rsidRDefault="0033501B" w:rsidP="00FD37C0">
            <w:pPr>
              <w:pStyle w:val="Header"/>
              <w:numPr>
                <w:ilvl w:val="0"/>
                <w:numId w:val="3"/>
              </w:numPr>
              <w:tabs>
                <w:tab w:val="clear" w:pos="4320"/>
                <w:tab w:val="clear" w:pos="8640"/>
              </w:tabs>
              <w:contextualSpacing/>
              <w:jc w:val="both"/>
            </w:pPr>
            <w:r>
              <w:t>any credit for time served;</w:t>
            </w:r>
          </w:p>
          <w:p w14:paraId="7DADBB75" w14:textId="4804A931" w:rsidR="00D55A57" w:rsidRDefault="0033501B" w:rsidP="00FD37C0">
            <w:pPr>
              <w:pStyle w:val="Header"/>
              <w:numPr>
                <w:ilvl w:val="0"/>
                <w:numId w:val="3"/>
              </w:numPr>
              <w:tabs>
                <w:tab w:val="clear" w:pos="4320"/>
                <w:tab w:val="clear" w:pos="8640"/>
              </w:tabs>
              <w:contextualSpacing/>
              <w:jc w:val="both"/>
            </w:pPr>
            <w:r>
              <w:t>any requirement to attend a diversionary or treatment program;</w:t>
            </w:r>
          </w:p>
          <w:p w14:paraId="75DB857A" w14:textId="1A1905FF" w:rsidR="00D55A57" w:rsidRDefault="0033501B" w:rsidP="00FD37C0">
            <w:pPr>
              <w:pStyle w:val="Header"/>
              <w:numPr>
                <w:ilvl w:val="0"/>
                <w:numId w:val="3"/>
              </w:numPr>
              <w:tabs>
                <w:tab w:val="clear" w:pos="4320"/>
                <w:tab w:val="clear" w:pos="8640"/>
              </w:tabs>
              <w:contextualSpacing/>
              <w:jc w:val="both"/>
            </w:pPr>
            <w:r>
              <w:t>the defendant's plea;</w:t>
            </w:r>
          </w:p>
          <w:p w14:paraId="4D07B44B" w14:textId="4F4069DB" w:rsidR="00D55A57" w:rsidRDefault="0033501B" w:rsidP="00FD37C0">
            <w:pPr>
              <w:pStyle w:val="Header"/>
              <w:numPr>
                <w:ilvl w:val="0"/>
                <w:numId w:val="3"/>
              </w:numPr>
              <w:tabs>
                <w:tab w:val="clear" w:pos="4320"/>
                <w:tab w:val="clear" w:pos="8640"/>
              </w:tabs>
              <w:contextualSpacing/>
              <w:jc w:val="both"/>
            </w:pPr>
            <w:r>
              <w:t xml:space="preserve">any approved or rejected plea </w:t>
            </w:r>
            <w:r>
              <w:t>agreement;</w:t>
            </w:r>
          </w:p>
          <w:p w14:paraId="12BE77D1" w14:textId="5D1EE5CC" w:rsidR="00D55A57" w:rsidRDefault="0033501B" w:rsidP="00FD37C0">
            <w:pPr>
              <w:pStyle w:val="Header"/>
              <w:numPr>
                <w:ilvl w:val="0"/>
                <w:numId w:val="3"/>
              </w:numPr>
              <w:tabs>
                <w:tab w:val="clear" w:pos="4320"/>
                <w:tab w:val="clear" w:pos="8640"/>
              </w:tabs>
              <w:contextualSpacing/>
              <w:jc w:val="both"/>
            </w:pPr>
            <w:r>
              <w:t>and jury assessed punishment and recommended sentence;</w:t>
            </w:r>
          </w:p>
          <w:p w14:paraId="0562B5FA" w14:textId="3EFCDF82" w:rsidR="00D55A57" w:rsidRDefault="0033501B" w:rsidP="00FD37C0">
            <w:pPr>
              <w:pStyle w:val="Header"/>
              <w:numPr>
                <w:ilvl w:val="0"/>
                <w:numId w:val="3"/>
              </w:numPr>
              <w:tabs>
                <w:tab w:val="clear" w:pos="4320"/>
                <w:tab w:val="clear" w:pos="8640"/>
              </w:tabs>
              <w:contextualSpacing/>
              <w:jc w:val="both"/>
            </w:pPr>
            <w:r>
              <w:t>an indication of any applicable conviction by bench or jury trial;</w:t>
            </w:r>
          </w:p>
          <w:p w14:paraId="06174C02" w14:textId="5BE4A55D" w:rsidR="003D507C" w:rsidRDefault="0033501B" w:rsidP="00FD37C0">
            <w:pPr>
              <w:pStyle w:val="Header"/>
              <w:numPr>
                <w:ilvl w:val="0"/>
                <w:numId w:val="3"/>
              </w:numPr>
              <w:tabs>
                <w:tab w:val="clear" w:pos="4320"/>
                <w:tab w:val="clear" w:pos="8640"/>
              </w:tabs>
              <w:contextualSpacing/>
              <w:jc w:val="both"/>
            </w:pPr>
            <w:r>
              <w:t>the defendant's legal representation;</w:t>
            </w:r>
          </w:p>
          <w:p w14:paraId="6DA8B8C0" w14:textId="287DD9E6" w:rsidR="003D507C" w:rsidRDefault="0033501B" w:rsidP="00FD37C0">
            <w:pPr>
              <w:pStyle w:val="Header"/>
              <w:numPr>
                <w:ilvl w:val="0"/>
                <w:numId w:val="3"/>
              </w:numPr>
              <w:tabs>
                <w:tab w:val="clear" w:pos="4320"/>
                <w:tab w:val="clear" w:pos="8640"/>
              </w:tabs>
              <w:contextualSpacing/>
              <w:jc w:val="both"/>
            </w:pPr>
            <w:r>
              <w:t>the category of any applicable confinement; and</w:t>
            </w:r>
          </w:p>
          <w:p w14:paraId="65F4A9B3" w14:textId="5698C075" w:rsidR="003D507C" w:rsidRDefault="0033501B" w:rsidP="00FD37C0">
            <w:pPr>
              <w:pStyle w:val="Header"/>
              <w:numPr>
                <w:ilvl w:val="0"/>
                <w:numId w:val="3"/>
              </w:numPr>
              <w:tabs>
                <w:tab w:val="clear" w:pos="4320"/>
                <w:tab w:val="clear" w:pos="8640"/>
              </w:tabs>
              <w:contextualSpacing/>
              <w:jc w:val="both"/>
            </w:pPr>
            <w:r>
              <w:t>information regarding an applicable d</w:t>
            </w:r>
            <w:r>
              <w:t>rug offense.</w:t>
            </w:r>
          </w:p>
          <w:p w14:paraId="1EA79923" w14:textId="77777777" w:rsidR="00220815" w:rsidRDefault="00220815" w:rsidP="003D2C9C">
            <w:pPr>
              <w:pStyle w:val="Header"/>
              <w:tabs>
                <w:tab w:val="clear" w:pos="4320"/>
                <w:tab w:val="clear" w:pos="8640"/>
              </w:tabs>
              <w:contextualSpacing/>
              <w:jc w:val="both"/>
            </w:pPr>
          </w:p>
          <w:p w14:paraId="1EAA88FE" w14:textId="04255316" w:rsidR="009C36CD" w:rsidRPr="009C36CD" w:rsidRDefault="0033501B" w:rsidP="003D2C9C">
            <w:pPr>
              <w:pStyle w:val="Header"/>
              <w:tabs>
                <w:tab w:val="clear" w:pos="4320"/>
                <w:tab w:val="clear" w:pos="8640"/>
              </w:tabs>
              <w:contextualSpacing/>
              <w:jc w:val="both"/>
            </w:pPr>
            <w:r>
              <w:t>C.S.</w:t>
            </w:r>
            <w:r w:rsidR="00F603AB">
              <w:t>H.B. 3334</w:t>
            </w:r>
            <w:r w:rsidR="00377F9A">
              <w:t xml:space="preserve"> requires OCA, not later than </w:t>
            </w:r>
            <w:r w:rsidR="00FA4DA3">
              <w:t xml:space="preserve">April </w:t>
            </w:r>
            <w:r w:rsidR="00377F9A">
              <w:t xml:space="preserve">1, 2022, </w:t>
            </w:r>
            <w:r w:rsidR="00220815">
              <w:t xml:space="preserve">to </w:t>
            </w:r>
            <w:r w:rsidR="00377F9A">
              <w:t>publish</w:t>
            </w:r>
            <w:r w:rsidR="00220815" w:rsidRPr="00220815">
              <w:t xml:space="preserve"> deidentified sentencing data from the information in the database on the </w:t>
            </w:r>
            <w:r w:rsidR="00220815">
              <w:t xml:space="preserve">OCA </w:t>
            </w:r>
            <w:r w:rsidR="00220815" w:rsidRPr="00220815">
              <w:t>website in a modern, open, electronic format that is machine-readable and readily accessible by t</w:t>
            </w:r>
            <w:r w:rsidR="00220815">
              <w:t>he public, free of charge</w:t>
            </w:r>
            <w:r w:rsidR="00AC25FA">
              <w:t>,</w:t>
            </w:r>
            <w:r w:rsidR="00377F9A">
              <w:t xml:space="preserve"> and</w:t>
            </w:r>
            <w:r w:rsidR="00CB3A45">
              <w:t xml:space="preserve"> requires OCA</w:t>
            </w:r>
            <w:r w:rsidR="00220815">
              <w:t xml:space="preserve"> to</w:t>
            </w:r>
            <w:r w:rsidR="00377F9A">
              <w:t xml:space="preserve"> update this</w:t>
            </w:r>
            <w:r w:rsidR="00220815" w:rsidRPr="00220815">
              <w:t xml:space="preserve"> information </w:t>
            </w:r>
            <w:r w:rsidR="00220815">
              <w:t xml:space="preserve">on a monthly basis. </w:t>
            </w:r>
            <w:r w:rsidR="00AC25FA">
              <w:t xml:space="preserve">The bill requires the data to be searchable by each data element required by the bill and by the </w:t>
            </w:r>
            <w:r w:rsidR="00AC25FA" w:rsidRPr="00FA4DA3">
              <w:t>county and circuit in which a court is located</w:t>
            </w:r>
            <w:r w:rsidR="00AC25FA">
              <w:t xml:space="preserve"> but </w:t>
            </w:r>
            <w:r w:rsidR="0014084A">
              <w:t>prohibits the published data from disclosing</w:t>
            </w:r>
            <w:r w:rsidR="0014084A" w:rsidRPr="0014084A">
              <w:t xml:space="preserve"> the name or identifying information of a defendant or any other individual involved in the defendant's sentencing</w:t>
            </w:r>
            <w:r w:rsidR="0014084A">
              <w:t xml:space="preserve">. </w:t>
            </w:r>
            <w:r w:rsidR="00220815">
              <w:t>The bill requires OCA, n</w:t>
            </w:r>
            <w:r w:rsidR="00220815" w:rsidRPr="00220815">
              <w:t xml:space="preserve">ot later than September 1 of each even-numbered year, </w:t>
            </w:r>
            <w:r w:rsidR="00220815">
              <w:t>to</w:t>
            </w:r>
            <w:r w:rsidR="00220815" w:rsidRPr="00220815">
              <w:t xml:space="preserve"> submit a report to the governor and the legislature regarding the data compiled in the database.</w:t>
            </w:r>
            <w:r w:rsidR="00220815">
              <w:t xml:space="preserve"> </w:t>
            </w:r>
            <w:r w:rsidR="00220815" w:rsidRPr="00220815">
              <w:t>The bill authorizes OCA to adopt rules</w:t>
            </w:r>
            <w:r w:rsidR="00377F9A">
              <w:t xml:space="preserve"> as necessary</w:t>
            </w:r>
            <w:r w:rsidR="00220815" w:rsidRPr="00220815">
              <w:t xml:space="preserve"> to</w:t>
            </w:r>
            <w:r w:rsidR="00220815">
              <w:t xml:space="preserve"> implement the bill's provisions. </w:t>
            </w:r>
          </w:p>
          <w:p w14:paraId="315A995D" w14:textId="77777777" w:rsidR="008423E4" w:rsidRDefault="008423E4" w:rsidP="003D2C9C">
            <w:pPr>
              <w:contextualSpacing/>
              <w:rPr>
                <w:b/>
              </w:rPr>
            </w:pPr>
          </w:p>
          <w:p w14:paraId="0F56315F" w14:textId="17D3BF32" w:rsidR="00321802" w:rsidRPr="00835628" w:rsidRDefault="00321802" w:rsidP="003D2C9C">
            <w:pPr>
              <w:contextualSpacing/>
              <w:rPr>
                <w:b/>
              </w:rPr>
            </w:pPr>
          </w:p>
        </w:tc>
      </w:tr>
      <w:tr w:rsidR="00746BEE" w14:paraId="78A35951" w14:textId="77777777" w:rsidTr="007E7971">
        <w:tc>
          <w:tcPr>
            <w:tcW w:w="9360" w:type="dxa"/>
          </w:tcPr>
          <w:p w14:paraId="31AAAC6D" w14:textId="77777777" w:rsidR="008423E4" w:rsidRPr="00A8133F" w:rsidRDefault="0033501B" w:rsidP="003D2C9C">
            <w:pPr>
              <w:contextualSpacing/>
              <w:rPr>
                <w:b/>
              </w:rPr>
            </w:pPr>
            <w:r w:rsidRPr="009C1E9A">
              <w:rPr>
                <w:b/>
                <w:u w:val="single"/>
              </w:rPr>
              <w:t>EFFECTIVE DATE</w:t>
            </w:r>
            <w:r>
              <w:rPr>
                <w:b/>
              </w:rPr>
              <w:t xml:space="preserve"> </w:t>
            </w:r>
          </w:p>
          <w:p w14:paraId="7BA5958E" w14:textId="77777777" w:rsidR="008423E4" w:rsidRDefault="008423E4" w:rsidP="003D2C9C">
            <w:pPr>
              <w:contextualSpacing/>
            </w:pPr>
          </w:p>
          <w:p w14:paraId="1A675F20" w14:textId="77777777" w:rsidR="008423E4" w:rsidRPr="003624F2" w:rsidRDefault="0033501B" w:rsidP="003D2C9C">
            <w:pPr>
              <w:pStyle w:val="Header"/>
              <w:tabs>
                <w:tab w:val="clear" w:pos="4320"/>
                <w:tab w:val="clear" w:pos="8640"/>
              </w:tabs>
              <w:contextualSpacing/>
              <w:jc w:val="both"/>
            </w:pPr>
            <w:r>
              <w:t xml:space="preserve">On passage, or, if the bill does not receive the necessary vote, </w:t>
            </w:r>
            <w:r>
              <w:t>September 1, 2021.</w:t>
            </w:r>
          </w:p>
          <w:p w14:paraId="0AB90FE4" w14:textId="77777777" w:rsidR="008423E4" w:rsidRPr="00233FDB" w:rsidRDefault="008423E4" w:rsidP="003D2C9C">
            <w:pPr>
              <w:contextualSpacing/>
              <w:rPr>
                <w:b/>
              </w:rPr>
            </w:pPr>
          </w:p>
        </w:tc>
      </w:tr>
      <w:tr w:rsidR="00746BEE" w14:paraId="29561182" w14:textId="77777777" w:rsidTr="007E7971">
        <w:tc>
          <w:tcPr>
            <w:tcW w:w="9360" w:type="dxa"/>
          </w:tcPr>
          <w:p w14:paraId="62311456" w14:textId="77777777" w:rsidR="009333FA" w:rsidRDefault="0033501B" w:rsidP="003D2C9C">
            <w:pPr>
              <w:contextualSpacing/>
              <w:jc w:val="both"/>
              <w:rPr>
                <w:b/>
                <w:u w:val="single"/>
              </w:rPr>
            </w:pPr>
            <w:r>
              <w:rPr>
                <w:b/>
                <w:u w:val="single"/>
              </w:rPr>
              <w:t>COMPARISON OF ORIGINAL AND SUBSTITUTE</w:t>
            </w:r>
          </w:p>
          <w:p w14:paraId="7887E4D2" w14:textId="77777777" w:rsidR="005053EB" w:rsidRDefault="005053EB" w:rsidP="003D2C9C">
            <w:pPr>
              <w:contextualSpacing/>
              <w:jc w:val="both"/>
              <w:rPr>
                <w:b/>
                <w:u w:val="single"/>
              </w:rPr>
            </w:pPr>
          </w:p>
          <w:p w14:paraId="698AEA33" w14:textId="77777777" w:rsidR="007E7971" w:rsidRDefault="0033501B" w:rsidP="003D2C9C">
            <w:pPr>
              <w:contextualSpacing/>
              <w:jc w:val="both"/>
            </w:pPr>
            <w:r>
              <w:t xml:space="preserve">While C.S.H.B. 3334 may differ from the original in minor or nonsubstantive ways, the following summarizes the substantial differences between the introduced and committee substitute versions of </w:t>
            </w:r>
            <w:r>
              <w:t>the bill.</w:t>
            </w:r>
          </w:p>
          <w:p w14:paraId="11478C95" w14:textId="77777777" w:rsidR="007E7971" w:rsidRDefault="007E7971" w:rsidP="003D2C9C">
            <w:pPr>
              <w:contextualSpacing/>
              <w:jc w:val="both"/>
            </w:pPr>
          </w:p>
          <w:p w14:paraId="00E8F2BF" w14:textId="77777777" w:rsidR="007E7971" w:rsidRDefault="0033501B" w:rsidP="003D2C9C">
            <w:pPr>
              <w:contextualSpacing/>
              <w:jc w:val="both"/>
            </w:pPr>
            <w:r>
              <w:t>The substitute changes the defendants to whom the database requirements apply from any defendant that appeared, as in the original, to a defendant convicted of a Class B misdemeanor or any higher category of offense. In addition to this, the sub</w:t>
            </w:r>
            <w:r>
              <w:t>stitute changes the required data elements for each defendant as follows:</w:t>
            </w:r>
          </w:p>
          <w:p w14:paraId="03B528DC" w14:textId="77777777" w:rsidR="007E7971" w:rsidRDefault="0033501B" w:rsidP="003D2C9C">
            <w:pPr>
              <w:pStyle w:val="ListParagraph"/>
              <w:numPr>
                <w:ilvl w:val="0"/>
                <w:numId w:val="2"/>
              </w:numPr>
              <w:jc w:val="both"/>
            </w:pPr>
            <w:r>
              <w:t xml:space="preserve">by not including data elements that appeared in the original relating to the sentencing court and judge, downgraded charges, cash bail or bond payments, and plea bargains;  </w:t>
            </w:r>
          </w:p>
          <w:p w14:paraId="57ED3E7D" w14:textId="77777777" w:rsidR="007E7971" w:rsidRDefault="0033501B" w:rsidP="003D2C9C">
            <w:pPr>
              <w:pStyle w:val="ListParagraph"/>
              <w:numPr>
                <w:ilvl w:val="0"/>
                <w:numId w:val="2"/>
              </w:numPr>
              <w:jc w:val="both"/>
            </w:pPr>
            <w:r>
              <w:t>by inclu</w:t>
            </w:r>
            <w:r>
              <w:t xml:space="preserve">ding data elements that did not appear in the original relating to whether multiple sentences were ordered, each charge brought against the defendant and whether any were  amended, penalty enhancements, bail, and the defendant's representation; and </w:t>
            </w:r>
          </w:p>
          <w:p w14:paraId="43831A15" w14:textId="77777777" w:rsidR="007E7971" w:rsidRDefault="0033501B" w:rsidP="003D2C9C">
            <w:pPr>
              <w:pStyle w:val="ListParagraph"/>
              <w:numPr>
                <w:ilvl w:val="0"/>
                <w:numId w:val="2"/>
              </w:numPr>
              <w:jc w:val="both"/>
            </w:pPr>
            <w:r>
              <w:t>by cha</w:t>
            </w:r>
            <w:r>
              <w:t>nging the data element that appeared in the original relating to the defendant's indigence status at the time of the alleged offense to a data element relating to whether the defendant was determined to be indigent at any time during the case.</w:t>
            </w:r>
          </w:p>
          <w:p w14:paraId="178C7BF6" w14:textId="77777777" w:rsidR="007E7971" w:rsidRDefault="007E7971" w:rsidP="003D2C9C">
            <w:pPr>
              <w:contextualSpacing/>
              <w:jc w:val="both"/>
            </w:pPr>
          </w:p>
          <w:p w14:paraId="037C482A" w14:textId="77777777" w:rsidR="007E7971" w:rsidRDefault="0033501B" w:rsidP="003D2C9C">
            <w:pPr>
              <w:contextualSpacing/>
              <w:jc w:val="both"/>
            </w:pPr>
            <w:r>
              <w:t>The substit</w:t>
            </w:r>
            <w:r>
              <w:t xml:space="preserve">ute includes a provision that was not in the original that expressly does not require </w:t>
            </w:r>
            <w:r w:rsidRPr="002D25B4">
              <w:t>information maintained in the database to be removed from the database following an order of expunction issued with respect to that information</w:t>
            </w:r>
            <w:r>
              <w:t>. The substitute does not i</w:t>
            </w:r>
            <w:r>
              <w:t>nclude the original's requirement that the database be searchable by the district in which the court is located.</w:t>
            </w:r>
          </w:p>
          <w:p w14:paraId="51E924C9" w14:textId="77777777" w:rsidR="007E7971" w:rsidRDefault="007E7971" w:rsidP="003D2C9C">
            <w:pPr>
              <w:contextualSpacing/>
              <w:jc w:val="both"/>
            </w:pPr>
          </w:p>
          <w:p w14:paraId="78350F54" w14:textId="77777777" w:rsidR="007E7971" w:rsidRDefault="0033501B" w:rsidP="003D2C9C">
            <w:pPr>
              <w:contextualSpacing/>
              <w:jc w:val="both"/>
            </w:pPr>
            <w:r>
              <w:t>The substitute and the original both provide for the submission of a written record of the required data, but the substitute clarifies the sub</w:t>
            </w:r>
            <w:r>
              <w:t>mission is by the clerk of the sentencing court on final disposition of a defendant's case. Whereas the original does not require submission regarding any sentencing that occurred before September 1, 2021, the substitute does not require submission regardi</w:t>
            </w:r>
            <w:r>
              <w:t xml:space="preserve">ng any sentencing that occurred before January 1, 2022. </w:t>
            </w:r>
          </w:p>
          <w:p w14:paraId="269A0154" w14:textId="77777777" w:rsidR="007E7971" w:rsidRDefault="007E7971" w:rsidP="003D2C9C">
            <w:pPr>
              <w:contextualSpacing/>
              <w:jc w:val="both"/>
            </w:pPr>
          </w:p>
          <w:p w14:paraId="168FE522" w14:textId="7D31B812" w:rsidR="007E7971" w:rsidRPr="009333FA" w:rsidRDefault="0033501B" w:rsidP="003D2C9C">
            <w:pPr>
              <w:contextualSpacing/>
              <w:jc w:val="both"/>
              <w:rPr>
                <w:b/>
                <w:u w:val="single"/>
              </w:rPr>
            </w:pPr>
            <w:r>
              <w:t xml:space="preserve">The substitute includes a prohibition that did not appear in the original against the data published on the OCA website identifying </w:t>
            </w:r>
            <w:r w:rsidRPr="0014084A">
              <w:t>any other individual involved in the defendant's sentencing</w:t>
            </w:r>
            <w:r>
              <w:t xml:space="preserve">. </w:t>
            </w:r>
            <w:r w:rsidRPr="00122D92">
              <w:t>The s</w:t>
            </w:r>
            <w:r w:rsidRPr="00122D92">
              <w:t xml:space="preserve">ubstitute changes the </w:t>
            </w:r>
            <w:r>
              <w:t>deadline</w:t>
            </w:r>
            <w:r w:rsidRPr="00122D92">
              <w:t xml:space="preserve"> by whi</w:t>
            </w:r>
            <w:r>
              <w:t>ch a court is required to begin publishing the data from not later than January 1, 2022, as required in the original, to not later than April 1, 2022.</w:t>
            </w:r>
          </w:p>
        </w:tc>
      </w:tr>
    </w:tbl>
    <w:p w14:paraId="67B63B7D" w14:textId="77777777" w:rsidR="004108C3" w:rsidRPr="008423E4" w:rsidRDefault="004108C3" w:rsidP="003D2C9C">
      <w:pPr>
        <w:contextualSpacing/>
      </w:pPr>
    </w:p>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1B939" w14:textId="77777777" w:rsidR="00000000" w:rsidRDefault="0033501B">
      <w:r>
        <w:separator/>
      </w:r>
    </w:p>
  </w:endnote>
  <w:endnote w:type="continuationSeparator" w:id="0">
    <w:p w14:paraId="58D499AD" w14:textId="77777777" w:rsidR="00000000" w:rsidRDefault="0033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55694"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746BEE" w14:paraId="7D941C87" w14:textId="77777777" w:rsidTr="009C1E9A">
      <w:trPr>
        <w:cantSplit/>
      </w:trPr>
      <w:tc>
        <w:tcPr>
          <w:tcW w:w="0" w:type="pct"/>
        </w:tcPr>
        <w:p w14:paraId="30807E59" w14:textId="77777777" w:rsidR="00137D90" w:rsidRDefault="00137D90" w:rsidP="009C1E9A">
          <w:pPr>
            <w:pStyle w:val="Footer"/>
            <w:tabs>
              <w:tab w:val="clear" w:pos="8640"/>
              <w:tab w:val="right" w:pos="9360"/>
            </w:tabs>
          </w:pPr>
        </w:p>
      </w:tc>
      <w:tc>
        <w:tcPr>
          <w:tcW w:w="2395" w:type="pct"/>
        </w:tcPr>
        <w:p w14:paraId="4C7BEAC8" w14:textId="77777777" w:rsidR="00137D90" w:rsidRDefault="00137D90" w:rsidP="009C1E9A">
          <w:pPr>
            <w:pStyle w:val="Footer"/>
            <w:tabs>
              <w:tab w:val="clear" w:pos="8640"/>
              <w:tab w:val="right" w:pos="9360"/>
            </w:tabs>
          </w:pPr>
        </w:p>
        <w:p w14:paraId="48EADB50" w14:textId="77777777" w:rsidR="001A4310" w:rsidRDefault="001A4310" w:rsidP="009C1E9A">
          <w:pPr>
            <w:pStyle w:val="Footer"/>
            <w:tabs>
              <w:tab w:val="clear" w:pos="8640"/>
              <w:tab w:val="right" w:pos="9360"/>
            </w:tabs>
          </w:pPr>
        </w:p>
        <w:p w14:paraId="74EC7209" w14:textId="77777777" w:rsidR="00137D90" w:rsidRDefault="00137D90" w:rsidP="009C1E9A">
          <w:pPr>
            <w:pStyle w:val="Footer"/>
            <w:tabs>
              <w:tab w:val="clear" w:pos="8640"/>
              <w:tab w:val="right" w:pos="9360"/>
            </w:tabs>
          </w:pPr>
        </w:p>
      </w:tc>
      <w:tc>
        <w:tcPr>
          <w:tcW w:w="2453" w:type="pct"/>
        </w:tcPr>
        <w:p w14:paraId="2DDFCBA4" w14:textId="77777777" w:rsidR="00137D90" w:rsidRDefault="00137D90" w:rsidP="009C1E9A">
          <w:pPr>
            <w:pStyle w:val="Footer"/>
            <w:tabs>
              <w:tab w:val="clear" w:pos="8640"/>
              <w:tab w:val="right" w:pos="9360"/>
            </w:tabs>
            <w:jc w:val="right"/>
          </w:pPr>
        </w:p>
      </w:tc>
    </w:tr>
    <w:tr w:rsidR="00746BEE" w14:paraId="6E66189B" w14:textId="77777777" w:rsidTr="009C1E9A">
      <w:trPr>
        <w:cantSplit/>
      </w:trPr>
      <w:tc>
        <w:tcPr>
          <w:tcW w:w="0" w:type="pct"/>
        </w:tcPr>
        <w:p w14:paraId="361771F6" w14:textId="77777777" w:rsidR="00EC379B" w:rsidRDefault="00EC379B" w:rsidP="009C1E9A">
          <w:pPr>
            <w:pStyle w:val="Footer"/>
            <w:tabs>
              <w:tab w:val="clear" w:pos="8640"/>
              <w:tab w:val="right" w:pos="9360"/>
            </w:tabs>
          </w:pPr>
        </w:p>
      </w:tc>
      <w:tc>
        <w:tcPr>
          <w:tcW w:w="2395" w:type="pct"/>
        </w:tcPr>
        <w:p w14:paraId="3C7BBB37" w14:textId="17F53C75" w:rsidR="00EC379B" w:rsidRPr="009C1E9A" w:rsidRDefault="0033501B" w:rsidP="009C1E9A">
          <w:pPr>
            <w:pStyle w:val="Footer"/>
            <w:tabs>
              <w:tab w:val="clear" w:pos="8640"/>
              <w:tab w:val="right" w:pos="9360"/>
            </w:tabs>
            <w:rPr>
              <w:rFonts w:ascii="Shruti" w:hAnsi="Shruti"/>
              <w:sz w:val="22"/>
            </w:rPr>
          </w:pPr>
          <w:r>
            <w:rPr>
              <w:rFonts w:ascii="Shruti" w:hAnsi="Shruti"/>
              <w:sz w:val="22"/>
            </w:rPr>
            <w:t>87R 22493</w:t>
          </w:r>
        </w:p>
      </w:tc>
      <w:tc>
        <w:tcPr>
          <w:tcW w:w="2453" w:type="pct"/>
        </w:tcPr>
        <w:p w14:paraId="71CA0671" w14:textId="79DA9599" w:rsidR="00EC379B" w:rsidRDefault="0033501B" w:rsidP="009C1E9A">
          <w:pPr>
            <w:pStyle w:val="Footer"/>
            <w:tabs>
              <w:tab w:val="clear" w:pos="8640"/>
              <w:tab w:val="right" w:pos="9360"/>
            </w:tabs>
            <w:jc w:val="right"/>
          </w:pPr>
          <w:r>
            <w:fldChar w:fldCharType="begin"/>
          </w:r>
          <w:r>
            <w:instrText xml:space="preserve"> DOCPROPERTY  OTID  \* MERGEFORMAT </w:instrText>
          </w:r>
          <w:r>
            <w:fldChar w:fldCharType="separate"/>
          </w:r>
          <w:r w:rsidR="00FD37C0">
            <w:t>21.116.1465</w:t>
          </w:r>
          <w:r>
            <w:fldChar w:fldCharType="end"/>
          </w:r>
        </w:p>
      </w:tc>
    </w:tr>
    <w:tr w:rsidR="00746BEE" w14:paraId="73B7B98D" w14:textId="77777777" w:rsidTr="009C1E9A">
      <w:trPr>
        <w:cantSplit/>
      </w:trPr>
      <w:tc>
        <w:tcPr>
          <w:tcW w:w="0" w:type="pct"/>
        </w:tcPr>
        <w:p w14:paraId="5DCAE060" w14:textId="77777777" w:rsidR="00EC379B" w:rsidRDefault="00EC379B" w:rsidP="009C1E9A">
          <w:pPr>
            <w:pStyle w:val="Footer"/>
            <w:tabs>
              <w:tab w:val="clear" w:pos="4320"/>
              <w:tab w:val="clear" w:pos="8640"/>
              <w:tab w:val="left" w:pos="2865"/>
            </w:tabs>
          </w:pPr>
        </w:p>
      </w:tc>
      <w:tc>
        <w:tcPr>
          <w:tcW w:w="2395" w:type="pct"/>
        </w:tcPr>
        <w:p w14:paraId="4B0EBCA2" w14:textId="355D0E6B" w:rsidR="00EC379B" w:rsidRPr="009C1E9A" w:rsidRDefault="0033501B" w:rsidP="009C1E9A">
          <w:pPr>
            <w:pStyle w:val="Footer"/>
            <w:tabs>
              <w:tab w:val="clear" w:pos="4320"/>
              <w:tab w:val="clear" w:pos="8640"/>
              <w:tab w:val="left" w:pos="2865"/>
            </w:tabs>
            <w:rPr>
              <w:rFonts w:ascii="Shruti" w:hAnsi="Shruti"/>
              <w:sz w:val="22"/>
            </w:rPr>
          </w:pPr>
          <w:r>
            <w:rPr>
              <w:rFonts w:ascii="Shruti" w:hAnsi="Shruti"/>
              <w:sz w:val="22"/>
            </w:rPr>
            <w:t>Substitute Document Number: 87R 20220</w:t>
          </w:r>
        </w:p>
      </w:tc>
      <w:tc>
        <w:tcPr>
          <w:tcW w:w="2453" w:type="pct"/>
        </w:tcPr>
        <w:p w14:paraId="0F677310" w14:textId="77777777" w:rsidR="00EC379B" w:rsidRDefault="00EC379B" w:rsidP="006D504F">
          <w:pPr>
            <w:pStyle w:val="Footer"/>
            <w:rPr>
              <w:rStyle w:val="PageNumber"/>
            </w:rPr>
          </w:pPr>
        </w:p>
        <w:p w14:paraId="0EB5E8FC" w14:textId="77777777" w:rsidR="00EC379B" w:rsidRDefault="00EC379B" w:rsidP="009C1E9A">
          <w:pPr>
            <w:pStyle w:val="Footer"/>
            <w:tabs>
              <w:tab w:val="clear" w:pos="8640"/>
              <w:tab w:val="right" w:pos="9360"/>
            </w:tabs>
            <w:jc w:val="right"/>
          </w:pPr>
        </w:p>
      </w:tc>
    </w:tr>
    <w:tr w:rsidR="00746BEE" w14:paraId="6F32A7C9" w14:textId="77777777" w:rsidTr="009C1E9A">
      <w:trPr>
        <w:cantSplit/>
        <w:trHeight w:val="323"/>
      </w:trPr>
      <w:tc>
        <w:tcPr>
          <w:tcW w:w="0" w:type="pct"/>
          <w:gridSpan w:val="3"/>
        </w:tcPr>
        <w:p w14:paraId="6A56444A" w14:textId="17AE5E79" w:rsidR="00EC379B" w:rsidRDefault="0033501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D37C0">
            <w:rPr>
              <w:rStyle w:val="PageNumber"/>
              <w:noProof/>
            </w:rPr>
            <w:t>2</w:t>
          </w:r>
          <w:r>
            <w:rPr>
              <w:rStyle w:val="PageNumber"/>
            </w:rPr>
            <w:fldChar w:fldCharType="end"/>
          </w:r>
        </w:p>
        <w:p w14:paraId="0A86C4A5" w14:textId="77777777" w:rsidR="00EC379B" w:rsidRDefault="00EC379B" w:rsidP="009C1E9A">
          <w:pPr>
            <w:pStyle w:val="Footer"/>
            <w:tabs>
              <w:tab w:val="clear" w:pos="8640"/>
              <w:tab w:val="right" w:pos="9360"/>
            </w:tabs>
            <w:jc w:val="center"/>
          </w:pPr>
        </w:p>
      </w:tc>
    </w:tr>
  </w:tbl>
  <w:p w14:paraId="055BAC8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08050"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89931" w14:textId="77777777" w:rsidR="00000000" w:rsidRDefault="0033501B">
      <w:r>
        <w:separator/>
      </w:r>
    </w:p>
  </w:footnote>
  <w:footnote w:type="continuationSeparator" w:id="0">
    <w:p w14:paraId="198DDBB4" w14:textId="77777777" w:rsidR="00000000" w:rsidRDefault="0033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B9FE"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B5B81"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07BCC"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6119E"/>
    <w:multiLevelType w:val="hybridMultilevel"/>
    <w:tmpl w:val="12909518"/>
    <w:lvl w:ilvl="0" w:tplc="041284A0">
      <w:start w:val="1"/>
      <w:numFmt w:val="bullet"/>
      <w:lvlText w:val=""/>
      <w:lvlJc w:val="left"/>
      <w:pPr>
        <w:tabs>
          <w:tab w:val="num" w:pos="720"/>
        </w:tabs>
        <w:ind w:left="720" w:hanging="360"/>
      </w:pPr>
      <w:rPr>
        <w:rFonts w:ascii="Symbol" w:hAnsi="Symbol" w:hint="default"/>
      </w:rPr>
    </w:lvl>
    <w:lvl w:ilvl="1" w:tplc="926A8B54" w:tentative="1">
      <w:start w:val="1"/>
      <w:numFmt w:val="bullet"/>
      <w:lvlText w:val="o"/>
      <w:lvlJc w:val="left"/>
      <w:pPr>
        <w:ind w:left="1440" w:hanging="360"/>
      </w:pPr>
      <w:rPr>
        <w:rFonts w:ascii="Courier New" w:hAnsi="Courier New" w:cs="Courier New" w:hint="default"/>
      </w:rPr>
    </w:lvl>
    <w:lvl w:ilvl="2" w:tplc="915AB090" w:tentative="1">
      <w:start w:val="1"/>
      <w:numFmt w:val="bullet"/>
      <w:lvlText w:val=""/>
      <w:lvlJc w:val="left"/>
      <w:pPr>
        <w:ind w:left="2160" w:hanging="360"/>
      </w:pPr>
      <w:rPr>
        <w:rFonts w:ascii="Wingdings" w:hAnsi="Wingdings" w:hint="default"/>
      </w:rPr>
    </w:lvl>
    <w:lvl w:ilvl="3" w:tplc="28A241DA" w:tentative="1">
      <w:start w:val="1"/>
      <w:numFmt w:val="bullet"/>
      <w:lvlText w:val=""/>
      <w:lvlJc w:val="left"/>
      <w:pPr>
        <w:ind w:left="2880" w:hanging="360"/>
      </w:pPr>
      <w:rPr>
        <w:rFonts w:ascii="Symbol" w:hAnsi="Symbol" w:hint="default"/>
      </w:rPr>
    </w:lvl>
    <w:lvl w:ilvl="4" w:tplc="A6A47D14" w:tentative="1">
      <w:start w:val="1"/>
      <w:numFmt w:val="bullet"/>
      <w:lvlText w:val="o"/>
      <w:lvlJc w:val="left"/>
      <w:pPr>
        <w:ind w:left="3600" w:hanging="360"/>
      </w:pPr>
      <w:rPr>
        <w:rFonts w:ascii="Courier New" w:hAnsi="Courier New" w:cs="Courier New" w:hint="default"/>
      </w:rPr>
    </w:lvl>
    <w:lvl w:ilvl="5" w:tplc="D188E5D4" w:tentative="1">
      <w:start w:val="1"/>
      <w:numFmt w:val="bullet"/>
      <w:lvlText w:val=""/>
      <w:lvlJc w:val="left"/>
      <w:pPr>
        <w:ind w:left="4320" w:hanging="360"/>
      </w:pPr>
      <w:rPr>
        <w:rFonts w:ascii="Wingdings" w:hAnsi="Wingdings" w:hint="default"/>
      </w:rPr>
    </w:lvl>
    <w:lvl w:ilvl="6" w:tplc="793A47EC" w:tentative="1">
      <w:start w:val="1"/>
      <w:numFmt w:val="bullet"/>
      <w:lvlText w:val=""/>
      <w:lvlJc w:val="left"/>
      <w:pPr>
        <w:ind w:left="5040" w:hanging="360"/>
      </w:pPr>
      <w:rPr>
        <w:rFonts w:ascii="Symbol" w:hAnsi="Symbol" w:hint="default"/>
      </w:rPr>
    </w:lvl>
    <w:lvl w:ilvl="7" w:tplc="84703332" w:tentative="1">
      <w:start w:val="1"/>
      <w:numFmt w:val="bullet"/>
      <w:lvlText w:val="o"/>
      <w:lvlJc w:val="left"/>
      <w:pPr>
        <w:ind w:left="5760" w:hanging="360"/>
      </w:pPr>
      <w:rPr>
        <w:rFonts w:ascii="Courier New" w:hAnsi="Courier New" w:cs="Courier New" w:hint="default"/>
      </w:rPr>
    </w:lvl>
    <w:lvl w:ilvl="8" w:tplc="6742E654" w:tentative="1">
      <w:start w:val="1"/>
      <w:numFmt w:val="bullet"/>
      <w:lvlText w:val=""/>
      <w:lvlJc w:val="left"/>
      <w:pPr>
        <w:ind w:left="6480" w:hanging="360"/>
      </w:pPr>
      <w:rPr>
        <w:rFonts w:ascii="Wingdings" w:hAnsi="Wingdings" w:hint="default"/>
      </w:rPr>
    </w:lvl>
  </w:abstractNum>
  <w:abstractNum w:abstractNumId="1" w15:restartNumberingAfterBreak="0">
    <w:nsid w:val="1FAE1BFC"/>
    <w:multiLevelType w:val="hybridMultilevel"/>
    <w:tmpl w:val="AC12AE1C"/>
    <w:lvl w:ilvl="0" w:tplc="3F5E58F8">
      <w:start w:val="1"/>
      <w:numFmt w:val="bullet"/>
      <w:lvlText w:val=""/>
      <w:lvlJc w:val="left"/>
      <w:pPr>
        <w:tabs>
          <w:tab w:val="num" w:pos="720"/>
        </w:tabs>
        <w:ind w:left="720" w:hanging="360"/>
      </w:pPr>
      <w:rPr>
        <w:rFonts w:ascii="Symbol" w:hAnsi="Symbol" w:hint="default"/>
      </w:rPr>
    </w:lvl>
    <w:lvl w:ilvl="1" w:tplc="9A067CE6">
      <w:start w:val="1"/>
      <w:numFmt w:val="bullet"/>
      <w:lvlText w:val="o"/>
      <w:lvlJc w:val="left"/>
      <w:pPr>
        <w:ind w:left="1440" w:hanging="360"/>
      </w:pPr>
      <w:rPr>
        <w:rFonts w:ascii="Courier New" w:hAnsi="Courier New" w:cs="Courier New" w:hint="default"/>
      </w:rPr>
    </w:lvl>
    <w:lvl w:ilvl="2" w:tplc="10F4A2BC" w:tentative="1">
      <w:start w:val="1"/>
      <w:numFmt w:val="bullet"/>
      <w:lvlText w:val=""/>
      <w:lvlJc w:val="left"/>
      <w:pPr>
        <w:ind w:left="2160" w:hanging="360"/>
      </w:pPr>
      <w:rPr>
        <w:rFonts w:ascii="Wingdings" w:hAnsi="Wingdings" w:hint="default"/>
      </w:rPr>
    </w:lvl>
    <w:lvl w:ilvl="3" w:tplc="8E96923E" w:tentative="1">
      <w:start w:val="1"/>
      <w:numFmt w:val="bullet"/>
      <w:lvlText w:val=""/>
      <w:lvlJc w:val="left"/>
      <w:pPr>
        <w:ind w:left="2880" w:hanging="360"/>
      </w:pPr>
      <w:rPr>
        <w:rFonts w:ascii="Symbol" w:hAnsi="Symbol" w:hint="default"/>
      </w:rPr>
    </w:lvl>
    <w:lvl w:ilvl="4" w:tplc="E5F0B44A" w:tentative="1">
      <w:start w:val="1"/>
      <w:numFmt w:val="bullet"/>
      <w:lvlText w:val="o"/>
      <w:lvlJc w:val="left"/>
      <w:pPr>
        <w:ind w:left="3600" w:hanging="360"/>
      </w:pPr>
      <w:rPr>
        <w:rFonts w:ascii="Courier New" w:hAnsi="Courier New" w:cs="Courier New" w:hint="default"/>
      </w:rPr>
    </w:lvl>
    <w:lvl w:ilvl="5" w:tplc="EA2085E0" w:tentative="1">
      <w:start w:val="1"/>
      <w:numFmt w:val="bullet"/>
      <w:lvlText w:val=""/>
      <w:lvlJc w:val="left"/>
      <w:pPr>
        <w:ind w:left="4320" w:hanging="360"/>
      </w:pPr>
      <w:rPr>
        <w:rFonts w:ascii="Wingdings" w:hAnsi="Wingdings" w:hint="default"/>
      </w:rPr>
    </w:lvl>
    <w:lvl w:ilvl="6" w:tplc="526C5BC0" w:tentative="1">
      <w:start w:val="1"/>
      <w:numFmt w:val="bullet"/>
      <w:lvlText w:val=""/>
      <w:lvlJc w:val="left"/>
      <w:pPr>
        <w:ind w:left="5040" w:hanging="360"/>
      </w:pPr>
      <w:rPr>
        <w:rFonts w:ascii="Symbol" w:hAnsi="Symbol" w:hint="default"/>
      </w:rPr>
    </w:lvl>
    <w:lvl w:ilvl="7" w:tplc="2A08E4C6" w:tentative="1">
      <w:start w:val="1"/>
      <w:numFmt w:val="bullet"/>
      <w:lvlText w:val="o"/>
      <w:lvlJc w:val="left"/>
      <w:pPr>
        <w:ind w:left="5760" w:hanging="360"/>
      </w:pPr>
      <w:rPr>
        <w:rFonts w:ascii="Courier New" w:hAnsi="Courier New" w:cs="Courier New" w:hint="default"/>
      </w:rPr>
    </w:lvl>
    <w:lvl w:ilvl="8" w:tplc="0BA63FCA" w:tentative="1">
      <w:start w:val="1"/>
      <w:numFmt w:val="bullet"/>
      <w:lvlText w:val=""/>
      <w:lvlJc w:val="left"/>
      <w:pPr>
        <w:ind w:left="6480" w:hanging="360"/>
      </w:pPr>
      <w:rPr>
        <w:rFonts w:ascii="Wingdings" w:hAnsi="Wingdings" w:hint="default"/>
      </w:rPr>
    </w:lvl>
  </w:abstractNum>
  <w:abstractNum w:abstractNumId="2" w15:restartNumberingAfterBreak="0">
    <w:nsid w:val="64AD15A6"/>
    <w:multiLevelType w:val="hybridMultilevel"/>
    <w:tmpl w:val="6A723752"/>
    <w:lvl w:ilvl="0" w:tplc="1BD2B3D2">
      <w:start w:val="1"/>
      <w:numFmt w:val="bullet"/>
      <w:lvlText w:val=""/>
      <w:lvlJc w:val="left"/>
      <w:pPr>
        <w:tabs>
          <w:tab w:val="num" w:pos="720"/>
        </w:tabs>
        <w:ind w:left="720" w:hanging="360"/>
      </w:pPr>
      <w:rPr>
        <w:rFonts w:ascii="Symbol" w:hAnsi="Symbol" w:hint="default"/>
      </w:rPr>
    </w:lvl>
    <w:lvl w:ilvl="1" w:tplc="0FAA4ECC" w:tentative="1">
      <w:start w:val="1"/>
      <w:numFmt w:val="bullet"/>
      <w:lvlText w:val="o"/>
      <w:lvlJc w:val="left"/>
      <w:pPr>
        <w:ind w:left="1440" w:hanging="360"/>
      </w:pPr>
      <w:rPr>
        <w:rFonts w:ascii="Courier New" w:hAnsi="Courier New" w:cs="Courier New" w:hint="default"/>
      </w:rPr>
    </w:lvl>
    <w:lvl w:ilvl="2" w:tplc="3ADEC406" w:tentative="1">
      <w:start w:val="1"/>
      <w:numFmt w:val="bullet"/>
      <w:lvlText w:val=""/>
      <w:lvlJc w:val="left"/>
      <w:pPr>
        <w:ind w:left="2160" w:hanging="360"/>
      </w:pPr>
      <w:rPr>
        <w:rFonts w:ascii="Wingdings" w:hAnsi="Wingdings" w:hint="default"/>
      </w:rPr>
    </w:lvl>
    <w:lvl w:ilvl="3" w:tplc="8D28D364" w:tentative="1">
      <w:start w:val="1"/>
      <w:numFmt w:val="bullet"/>
      <w:lvlText w:val=""/>
      <w:lvlJc w:val="left"/>
      <w:pPr>
        <w:ind w:left="2880" w:hanging="360"/>
      </w:pPr>
      <w:rPr>
        <w:rFonts w:ascii="Symbol" w:hAnsi="Symbol" w:hint="default"/>
      </w:rPr>
    </w:lvl>
    <w:lvl w:ilvl="4" w:tplc="4BFA47C0" w:tentative="1">
      <w:start w:val="1"/>
      <w:numFmt w:val="bullet"/>
      <w:lvlText w:val="o"/>
      <w:lvlJc w:val="left"/>
      <w:pPr>
        <w:ind w:left="3600" w:hanging="360"/>
      </w:pPr>
      <w:rPr>
        <w:rFonts w:ascii="Courier New" w:hAnsi="Courier New" w:cs="Courier New" w:hint="default"/>
      </w:rPr>
    </w:lvl>
    <w:lvl w:ilvl="5" w:tplc="0A444224" w:tentative="1">
      <w:start w:val="1"/>
      <w:numFmt w:val="bullet"/>
      <w:lvlText w:val=""/>
      <w:lvlJc w:val="left"/>
      <w:pPr>
        <w:ind w:left="4320" w:hanging="360"/>
      </w:pPr>
      <w:rPr>
        <w:rFonts w:ascii="Wingdings" w:hAnsi="Wingdings" w:hint="default"/>
      </w:rPr>
    </w:lvl>
    <w:lvl w:ilvl="6" w:tplc="AED6B400" w:tentative="1">
      <w:start w:val="1"/>
      <w:numFmt w:val="bullet"/>
      <w:lvlText w:val=""/>
      <w:lvlJc w:val="left"/>
      <w:pPr>
        <w:ind w:left="5040" w:hanging="360"/>
      </w:pPr>
      <w:rPr>
        <w:rFonts w:ascii="Symbol" w:hAnsi="Symbol" w:hint="default"/>
      </w:rPr>
    </w:lvl>
    <w:lvl w:ilvl="7" w:tplc="14EAC4B0" w:tentative="1">
      <w:start w:val="1"/>
      <w:numFmt w:val="bullet"/>
      <w:lvlText w:val="o"/>
      <w:lvlJc w:val="left"/>
      <w:pPr>
        <w:ind w:left="5760" w:hanging="360"/>
      </w:pPr>
      <w:rPr>
        <w:rFonts w:ascii="Courier New" w:hAnsi="Courier New" w:cs="Courier New" w:hint="default"/>
      </w:rPr>
    </w:lvl>
    <w:lvl w:ilvl="8" w:tplc="071E854C"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C8"/>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106C1"/>
    <w:rsid w:val="00110F8C"/>
    <w:rsid w:val="0011274A"/>
    <w:rsid w:val="00113522"/>
    <w:rsid w:val="0011378D"/>
    <w:rsid w:val="00115EE9"/>
    <w:rsid w:val="001169F9"/>
    <w:rsid w:val="00120797"/>
    <w:rsid w:val="00122D92"/>
    <w:rsid w:val="0012371B"/>
    <w:rsid w:val="001245C8"/>
    <w:rsid w:val="00124653"/>
    <w:rsid w:val="001247C5"/>
    <w:rsid w:val="00127893"/>
    <w:rsid w:val="001312BB"/>
    <w:rsid w:val="001323C8"/>
    <w:rsid w:val="00137D90"/>
    <w:rsid w:val="0014084A"/>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15CC"/>
    <w:rsid w:val="001E2CAD"/>
    <w:rsid w:val="001E34DB"/>
    <w:rsid w:val="001E37CD"/>
    <w:rsid w:val="001E4070"/>
    <w:rsid w:val="001E655E"/>
    <w:rsid w:val="001F3CB8"/>
    <w:rsid w:val="001F6B91"/>
    <w:rsid w:val="001F703C"/>
    <w:rsid w:val="00200B9E"/>
    <w:rsid w:val="00200BF5"/>
    <w:rsid w:val="002010D1"/>
    <w:rsid w:val="00201338"/>
    <w:rsid w:val="00204CA0"/>
    <w:rsid w:val="0020775D"/>
    <w:rsid w:val="002116DD"/>
    <w:rsid w:val="0021383D"/>
    <w:rsid w:val="00216BBA"/>
    <w:rsid w:val="00216E12"/>
    <w:rsid w:val="00217466"/>
    <w:rsid w:val="0021751D"/>
    <w:rsid w:val="00217C49"/>
    <w:rsid w:val="00220815"/>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6740"/>
    <w:rsid w:val="002B7BA7"/>
    <w:rsid w:val="002C1C17"/>
    <w:rsid w:val="002C3203"/>
    <w:rsid w:val="002C377D"/>
    <w:rsid w:val="002C3B07"/>
    <w:rsid w:val="002C532B"/>
    <w:rsid w:val="002C5713"/>
    <w:rsid w:val="002D05CC"/>
    <w:rsid w:val="002D25B4"/>
    <w:rsid w:val="002D305A"/>
    <w:rsid w:val="002E21B8"/>
    <w:rsid w:val="002E7DF9"/>
    <w:rsid w:val="002F097B"/>
    <w:rsid w:val="002F3111"/>
    <w:rsid w:val="002F4AEC"/>
    <w:rsid w:val="002F795D"/>
    <w:rsid w:val="00300823"/>
    <w:rsid w:val="00300D7F"/>
    <w:rsid w:val="00301638"/>
    <w:rsid w:val="00303B0C"/>
    <w:rsid w:val="0030459C"/>
    <w:rsid w:val="00311551"/>
    <w:rsid w:val="00313DFE"/>
    <w:rsid w:val="003143B2"/>
    <w:rsid w:val="00314821"/>
    <w:rsid w:val="0031483F"/>
    <w:rsid w:val="0031741B"/>
    <w:rsid w:val="00321337"/>
    <w:rsid w:val="00321802"/>
    <w:rsid w:val="00321F2F"/>
    <w:rsid w:val="003237F6"/>
    <w:rsid w:val="00324077"/>
    <w:rsid w:val="0032453B"/>
    <w:rsid w:val="00324868"/>
    <w:rsid w:val="003305F5"/>
    <w:rsid w:val="00333930"/>
    <w:rsid w:val="0033501B"/>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DF"/>
    <w:rsid w:val="00376980"/>
    <w:rsid w:val="00377E3D"/>
    <w:rsid w:val="00377F9A"/>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2C9C"/>
    <w:rsid w:val="003D507C"/>
    <w:rsid w:val="003D726D"/>
    <w:rsid w:val="003E0875"/>
    <w:rsid w:val="003E0BB8"/>
    <w:rsid w:val="003E6CB0"/>
    <w:rsid w:val="003F1F5E"/>
    <w:rsid w:val="003F286A"/>
    <w:rsid w:val="003F32BF"/>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25246"/>
    <w:rsid w:val="0043190E"/>
    <w:rsid w:val="004324E9"/>
    <w:rsid w:val="004350F3"/>
    <w:rsid w:val="00436980"/>
    <w:rsid w:val="00441016"/>
    <w:rsid w:val="00441F2F"/>
    <w:rsid w:val="0044228B"/>
    <w:rsid w:val="004431DF"/>
    <w:rsid w:val="00447018"/>
    <w:rsid w:val="00450561"/>
    <w:rsid w:val="00450A40"/>
    <w:rsid w:val="00451D7C"/>
    <w:rsid w:val="00452FC3"/>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302F"/>
    <w:rsid w:val="004C4175"/>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2FB7"/>
    <w:rsid w:val="004F32AD"/>
    <w:rsid w:val="004F57CB"/>
    <w:rsid w:val="004F64F6"/>
    <w:rsid w:val="004F69C0"/>
    <w:rsid w:val="00500121"/>
    <w:rsid w:val="005017AC"/>
    <w:rsid w:val="00501E8A"/>
    <w:rsid w:val="00505121"/>
    <w:rsid w:val="005053EB"/>
    <w:rsid w:val="00505C04"/>
    <w:rsid w:val="00505F1B"/>
    <w:rsid w:val="005073E8"/>
    <w:rsid w:val="00507E25"/>
    <w:rsid w:val="00510503"/>
    <w:rsid w:val="0051324D"/>
    <w:rsid w:val="00515466"/>
    <w:rsid w:val="005154F7"/>
    <w:rsid w:val="005159DE"/>
    <w:rsid w:val="005269CE"/>
    <w:rsid w:val="005304B2"/>
    <w:rsid w:val="005336BD"/>
    <w:rsid w:val="00534A49"/>
    <w:rsid w:val="005363BB"/>
    <w:rsid w:val="00541B98"/>
    <w:rsid w:val="00543374"/>
    <w:rsid w:val="00545175"/>
    <w:rsid w:val="00545548"/>
    <w:rsid w:val="00546923"/>
    <w:rsid w:val="00551CA6"/>
    <w:rsid w:val="00555034"/>
    <w:rsid w:val="005570D2"/>
    <w:rsid w:val="0056153F"/>
    <w:rsid w:val="00561B14"/>
    <w:rsid w:val="00562C87"/>
    <w:rsid w:val="005636BD"/>
    <w:rsid w:val="005666D5"/>
    <w:rsid w:val="005669A7"/>
    <w:rsid w:val="00573401"/>
    <w:rsid w:val="00575C55"/>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1F36"/>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97ED2"/>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6BEE"/>
    <w:rsid w:val="007509BE"/>
    <w:rsid w:val="0075287B"/>
    <w:rsid w:val="007558B8"/>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E7971"/>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1B8D"/>
    <w:rsid w:val="008B2B1A"/>
    <w:rsid w:val="008B3428"/>
    <w:rsid w:val="008B7785"/>
    <w:rsid w:val="008C0809"/>
    <w:rsid w:val="008C132C"/>
    <w:rsid w:val="008C3FD0"/>
    <w:rsid w:val="008D1BBA"/>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0B6B"/>
    <w:rsid w:val="009320D2"/>
    <w:rsid w:val="00932C77"/>
    <w:rsid w:val="009333FA"/>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4C17"/>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5F38"/>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281F"/>
    <w:rsid w:val="00A5364B"/>
    <w:rsid w:val="00A54142"/>
    <w:rsid w:val="00A54C42"/>
    <w:rsid w:val="00A572B1"/>
    <w:rsid w:val="00A577AF"/>
    <w:rsid w:val="00A60177"/>
    <w:rsid w:val="00A61C27"/>
    <w:rsid w:val="00A6344D"/>
    <w:rsid w:val="00A644B8"/>
    <w:rsid w:val="00A70E35"/>
    <w:rsid w:val="00A720DC"/>
    <w:rsid w:val="00A803CF"/>
    <w:rsid w:val="00A8133F"/>
    <w:rsid w:val="00A81723"/>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5FA"/>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1F0B"/>
    <w:rsid w:val="00B233BB"/>
    <w:rsid w:val="00B25612"/>
    <w:rsid w:val="00B26437"/>
    <w:rsid w:val="00B2678E"/>
    <w:rsid w:val="00B30647"/>
    <w:rsid w:val="00B31F0E"/>
    <w:rsid w:val="00B34F25"/>
    <w:rsid w:val="00B43672"/>
    <w:rsid w:val="00B4550F"/>
    <w:rsid w:val="00B473D8"/>
    <w:rsid w:val="00B5165A"/>
    <w:rsid w:val="00B524C1"/>
    <w:rsid w:val="00B52C8D"/>
    <w:rsid w:val="00B564BF"/>
    <w:rsid w:val="00B6104E"/>
    <w:rsid w:val="00B610C7"/>
    <w:rsid w:val="00B62106"/>
    <w:rsid w:val="00B626A8"/>
    <w:rsid w:val="00B65695"/>
    <w:rsid w:val="00B66526"/>
    <w:rsid w:val="00B665A3"/>
    <w:rsid w:val="00B72F50"/>
    <w:rsid w:val="00B73BB4"/>
    <w:rsid w:val="00B77EE4"/>
    <w:rsid w:val="00B80532"/>
    <w:rsid w:val="00B82039"/>
    <w:rsid w:val="00B82454"/>
    <w:rsid w:val="00B90097"/>
    <w:rsid w:val="00B90999"/>
    <w:rsid w:val="00B91AD7"/>
    <w:rsid w:val="00B92D23"/>
    <w:rsid w:val="00B94474"/>
    <w:rsid w:val="00B9598C"/>
    <w:rsid w:val="00B95BC8"/>
    <w:rsid w:val="00B96E87"/>
    <w:rsid w:val="00BA146A"/>
    <w:rsid w:val="00BA32EE"/>
    <w:rsid w:val="00BB578A"/>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700"/>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6C14"/>
    <w:rsid w:val="00C9047F"/>
    <w:rsid w:val="00C91F65"/>
    <w:rsid w:val="00C92310"/>
    <w:rsid w:val="00C95150"/>
    <w:rsid w:val="00C95A73"/>
    <w:rsid w:val="00C9722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A45"/>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48EF"/>
    <w:rsid w:val="00D30534"/>
    <w:rsid w:val="00D35728"/>
    <w:rsid w:val="00D37BCF"/>
    <w:rsid w:val="00D40F93"/>
    <w:rsid w:val="00D42277"/>
    <w:rsid w:val="00D43C59"/>
    <w:rsid w:val="00D44ADE"/>
    <w:rsid w:val="00D46275"/>
    <w:rsid w:val="00D466C7"/>
    <w:rsid w:val="00D50D65"/>
    <w:rsid w:val="00D512E0"/>
    <w:rsid w:val="00D519F3"/>
    <w:rsid w:val="00D51D2A"/>
    <w:rsid w:val="00D53B7C"/>
    <w:rsid w:val="00D55A57"/>
    <w:rsid w:val="00D55F52"/>
    <w:rsid w:val="00D56508"/>
    <w:rsid w:val="00D6131A"/>
    <w:rsid w:val="00D61611"/>
    <w:rsid w:val="00D616DD"/>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49D1"/>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03AB"/>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4DA3"/>
    <w:rsid w:val="00FA59FD"/>
    <w:rsid w:val="00FA5D8C"/>
    <w:rsid w:val="00FA6403"/>
    <w:rsid w:val="00FB16CD"/>
    <w:rsid w:val="00FB73AE"/>
    <w:rsid w:val="00FC5388"/>
    <w:rsid w:val="00FC726C"/>
    <w:rsid w:val="00FD1B4B"/>
    <w:rsid w:val="00FD1B94"/>
    <w:rsid w:val="00FD37C0"/>
    <w:rsid w:val="00FD6745"/>
    <w:rsid w:val="00FE1195"/>
    <w:rsid w:val="00FE19C5"/>
    <w:rsid w:val="00FE4286"/>
    <w:rsid w:val="00FE48C3"/>
    <w:rsid w:val="00FE5909"/>
    <w:rsid w:val="00FE652E"/>
    <w:rsid w:val="00FE71FE"/>
    <w:rsid w:val="00FF0A28"/>
    <w:rsid w:val="00FF0B8B"/>
    <w:rsid w:val="00FF0E93"/>
    <w:rsid w:val="00FF13C3"/>
    <w:rsid w:val="00FF34C8"/>
    <w:rsid w:val="00FF4341"/>
    <w:rsid w:val="00FF49BF"/>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6BD7BA-98BC-457D-923F-A9FB9E35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77F9A"/>
    <w:rPr>
      <w:sz w:val="16"/>
      <w:szCs w:val="16"/>
    </w:rPr>
  </w:style>
  <w:style w:type="paragraph" w:styleId="CommentText">
    <w:name w:val="annotation text"/>
    <w:basedOn w:val="Normal"/>
    <w:link w:val="CommentTextChar"/>
    <w:semiHidden/>
    <w:unhideWhenUsed/>
    <w:rsid w:val="00377F9A"/>
    <w:rPr>
      <w:sz w:val="20"/>
      <w:szCs w:val="20"/>
    </w:rPr>
  </w:style>
  <w:style w:type="character" w:customStyle="1" w:styleId="CommentTextChar">
    <w:name w:val="Comment Text Char"/>
    <w:basedOn w:val="DefaultParagraphFont"/>
    <w:link w:val="CommentText"/>
    <w:semiHidden/>
    <w:rsid w:val="00377F9A"/>
  </w:style>
  <w:style w:type="paragraph" w:styleId="CommentSubject">
    <w:name w:val="annotation subject"/>
    <w:basedOn w:val="CommentText"/>
    <w:next w:val="CommentText"/>
    <w:link w:val="CommentSubjectChar"/>
    <w:semiHidden/>
    <w:unhideWhenUsed/>
    <w:rsid w:val="00377F9A"/>
    <w:rPr>
      <w:b/>
      <w:bCs/>
    </w:rPr>
  </w:style>
  <w:style w:type="character" w:customStyle="1" w:styleId="CommentSubjectChar">
    <w:name w:val="Comment Subject Char"/>
    <w:basedOn w:val="CommentTextChar"/>
    <w:link w:val="CommentSubject"/>
    <w:semiHidden/>
    <w:rsid w:val="00377F9A"/>
    <w:rPr>
      <w:b/>
      <w:bCs/>
    </w:rPr>
  </w:style>
  <w:style w:type="paragraph" w:styleId="ListParagraph">
    <w:name w:val="List Paragraph"/>
    <w:basedOn w:val="Normal"/>
    <w:uiPriority w:val="34"/>
    <w:qFormat/>
    <w:rsid w:val="00575C55"/>
    <w:pPr>
      <w:ind w:left="720"/>
      <w:contextualSpacing/>
    </w:pPr>
  </w:style>
  <w:style w:type="character" w:styleId="Hyperlink">
    <w:name w:val="Hyperlink"/>
    <w:basedOn w:val="DefaultParagraphFont"/>
    <w:uiPriority w:val="99"/>
    <w:semiHidden/>
    <w:unhideWhenUsed/>
    <w:rsid w:val="004C41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Words>
  <Characters>5642</Characters>
  <Application>Microsoft Office Word</Application>
  <DocSecurity>4</DocSecurity>
  <Lines>118</Lines>
  <Paragraphs>48</Paragraphs>
  <ScaleCrop>false</ScaleCrop>
  <HeadingPairs>
    <vt:vector size="2" baseType="variant">
      <vt:variant>
        <vt:lpstr>Title</vt:lpstr>
      </vt:variant>
      <vt:variant>
        <vt:i4>1</vt:i4>
      </vt:variant>
    </vt:vector>
  </HeadingPairs>
  <TitlesOfParts>
    <vt:vector size="1" baseType="lpstr">
      <vt:lpstr>BA - HB03334 (Committee Report (Substituted))</vt:lpstr>
    </vt:vector>
  </TitlesOfParts>
  <Company>State of Texas</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87R 22493</dc:subject>
  <dc:creator>State of Texas</dc:creator>
  <dc:description>HB 3334 by Turner, John-(H)Judiciary &amp; Civil Jurisprudence (Substitute Document Number: 87R 20220)</dc:description>
  <cp:lastModifiedBy>Stacey Nicchio</cp:lastModifiedBy>
  <cp:revision>2</cp:revision>
  <cp:lastPrinted>2003-11-26T17:21:00Z</cp:lastPrinted>
  <dcterms:created xsi:type="dcterms:W3CDTF">2021-04-27T18:35:00Z</dcterms:created>
  <dcterms:modified xsi:type="dcterms:W3CDTF">2021-04-27T18:35:00Z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21.116.1465</vt:lpwstr>
  </property>
</Properties>
</file>