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82C35" w14:paraId="2B270D40" w14:textId="77777777" w:rsidTr="00345119">
        <w:tc>
          <w:tcPr>
            <w:tcW w:w="9576" w:type="dxa"/>
            <w:noWrap/>
          </w:tcPr>
          <w:p w14:paraId="693ED966" w14:textId="77777777" w:rsidR="008423E4" w:rsidRPr="0022177D" w:rsidRDefault="00B07653" w:rsidP="00246F3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4341902" w14:textId="77777777" w:rsidR="008423E4" w:rsidRPr="0022177D" w:rsidRDefault="008423E4" w:rsidP="00246F37">
      <w:pPr>
        <w:jc w:val="center"/>
      </w:pPr>
    </w:p>
    <w:p w14:paraId="2DB02384" w14:textId="77777777" w:rsidR="008423E4" w:rsidRPr="00B31F0E" w:rsidRDefault="008423E4" w:rsidP="00246F37"/>
    <w:p w14:paraId="594F44DC" w14:textId="77777777" w:rsidR="008423E4" w:rsidRPr="00742794" w:rsidRDefault="008423E4" w:rsidP="00246F3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2C35" w14:paraId="2AFA1C59" w14:textId="77777777" w:rsidTr="00345119">
        <w:tc>
          <w:tcPr>
            <w:tcW w:w="9576" w:type="dxa"/>
          </w:tcPr>
          <w:p w14:paraId="511197D1" w14:textId="6B359B6F" w:rsidR="008423E4" w:rsidRPr="00861995" w:rsidRDefault="00B07653" w:rsidP="00246F37">
            <w:pPr>
              <w:jc w:val="right"/>
            </w:pPr>
            <w:r>
              <w:t>C.S.H.B. 3363</w:t>
            </w:r>
          </w:p>
        </w:tc>
      </w:tr>
      <w:tr w:rsidR="00182C35" w14:paraId="1A95B147" w14:textId="77777777" w:rsidTr="00345119">
        <w:tc>
          <w:tcPr>
            <w:tcW w:w="9576" w:type="dxa"/>
          </w:tcPr>
          <w:p w14:paraId="581E39A1" w14:textId="51264DED" w:rsidR="008423E4" w:rsidRPr="00861995" w:rsidRDefault="00B07653" w:rsidP="00351DAE">
            <w:pPr>
              <w:jc w:val="right"/>
            </w:pPr>
            <w:r>
              <w:t xml:space="preserve">By: </w:t>
            </w:r>
            <w:r w:rsidR="00351DAE">
              <w:t>Harless</w:t>
            </w:r>
          </w:p>
        </w:tc>
      </w:tr>
      <w:tr w:rsidR="00182C35" w14:paraId="5E9EFAFC" w14:textId="77777777" w:rsidTr="00345119">
        <w:tc>
          <w:tcPr>
            <w:tcW w:w="9576" w:type="dxa"/>
          </w:tcPr>
          <w:p w14:paraId="7BBEB7D2" w14:textId="0AB82F79" w:rsidR="008423E4" w:rsidRPr="00861995" w:rsidRDefault="00B07653" w:rsidP="00246F37">
            <w:pPr>
              <w:jc w:val="right"/>
            </w:pPr>
            <w:r>
              <w:t>Criminal Jurisprudence</w:t>
            </w:r>
          </w:p>
        </w:tc>
      </w:tr>
      <w:tr w:rsidR="00182C35" w14:paraId="2EEBFDBE" w14:textId="77777777" w:rsidTr="00345119">
        <w:tc>
          <w:tcPr>
            <w:tcW w:w="9576" w:type="dxa"/>
          </w:tcPr>
          <w:p w14:paraId="140F6D97" w14:textId="78380EE3" w:rsidR="008423E4" w:rsidRDefault="00B07653" w:rsidP="00246F37">
            <w:pPr>
              <w:jc w:val="right"/>
            </w:pPr>
            <w:r>
              <w:t>Committee Report (Substituted)</w:t>
            </w:r>
          </w:p>
        </w:tc>
      </w:tr>
    </w:tbl>
    <w:p w14:paraId="2E722B3B" w14:textId="77777777" w:rsidR="008423E4" w:rsidRDefault="008423E4" w:rsidP="00246F37">
      <w:pPr>
        <w:tabs>
          <w:tab w:val="right" w:pos="9360"/>
        </w:tabs>
      </w:pPr>
    </w:p>
    <w:p w14:paraId="6CF13BAA" w14:textId="77777777" w:rsidR="008423E4" w:rsidRDefault="008423E4" w:rsidP="00246F37"/>
    <w:p w14:paraId="7D8AE2AA" w14:textId="77777777" w:rsidR="008423E4" w:rsidRDefault="008423E4" w:rsidP="00246F3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82C35" w14:paraId="2F9D7C2E" w14:textId="77777777" w:rsidTr="00D15425">
        <w:tc>
          <w:tcPr>
            <w:tcW w:w="9360" w:type="dxa"/>
          </w:tcPr>
          <w:p w14:paraId="542681FA" w14:textId="77777777" w:rsidR="008423E4" w:rsidRPr="00A8133F" w:rsidRDefault="00B07653" w:rsidP="00246F3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4553526" w14:textId="77777777" w:rsidR="008423E4" w:rsidRDefault="008423E4" w:rsidP="00246F37"/>
          <w:p w14:paraId="710388A1" w14:textId="0E26987F" w:rsidR="008423E4" w:rsidRPr="00E26B13" w:rsidRDefault="00B07653" w:rsidP="00246F37">
            <w:pPr>
              <w:rPr>
                <w:b/>
              </w:rPr>
            </w:pPr>
            <w:r w:rsidRPr="00F1223C">
              <w:t xml:space="preserve">Historically, law enforcement agencies were able to request </w:t>
            </w:r>
            <w:r w:rsidR="001060C3">
              <w:t xml:space="preserve">information </w:t>
            </w:r>
            <w:r w:rsidRPr="00F1223C">
              <w:t xml:space="preserve">under the cellular data portion of </w:t>
            </w:r>
            <w:r w:rsidR="001060C3">
              <w:t>state law governing search warrants</w:t>
            </w:r>
            <w:r w:rsidRPr="00F1223C">
              <w:t xml:space="preserve"> </w:t>
            </w:r>
            <w:r w:rsidR="001060C3">
              <w:t>from</w:t>
            </w:r>
            <w:r w:rsidRPr="00F1223C">
              <w:t xml:space="preserve"> companies who handled such information to locate fugitives timely and efficiently. More importantly, law enforcement officers could use this information in situations involving exigent circumstances such as kidnappings and ot</w:t>
            </w:r>
            <w:r w:rsidRPr="00F1223C">
              <w:t>her immediate life-threatening situations. However, companies such as Facebook in the last few years have started ignoring or denying warrants</w:t>
            </w:r>
            <w:r w:rsidR="0010070C">
              <w:t>,</w:t>
            </w:r>
            <w:r w:rsidRPr="00F1223C">
              <w:t xml:space="preserve"> claiming that the cellular data portion of </w:t>
            </w:r>
            <w:r w:rsidR="001060C3">
              <w:t>the law</w:t>
            </w:r>
            <w:r w:rsidRPr="00F1223C">
              <w:t xml:space="preserve"> does not cover immediate cell site location information. This</w:t>
            </w:r>
            <w:r w:rsidRPr="00F1223C">
              <w:t xml:space="preserve"> has resulted in some serious offenders remaining at large longer than if that information </w:t>
            </w:r>
            <w:r w:rsidR="001060C3">
              <w:t xml:space="preserve">was </w:t>
            </w:r>
            <w:r w:rsidRPr="00F1223C">
              <w:t>readily available</w:t>
            </w:r>
            <w:r w:rsidR="001060C3">
              <w:t xml:space="preserve"> to law enforcement</w:t>
            </w:r>
            <w:r w:rsidRPr="00F1223C">
              <w:t xml:space="preserve">. </w:t>
            </w:r>
            <w:r w:rsidR="001060C3">
              <w:t xml:space="preserve">C.S.H.B. 3363 makes changes to state law governing search warrants in order </w:t>
            </w:r>
            <w:r w:rsidRPr="00F1223C">
              <w:t>to protect individuals</w:t>
            </w:r>
            <w:r w:rsidR="001060C3">
              <w:t>'</w:t>
            </w:r>
            <w:r w:rsidRPr="00F1223C">
              <w:t xml:space="preserve"> privacy while allowing </w:t>
            </w:r>
            <w:r w:rsidRPr="00F1223C">
              <w:t xml:space="preserve">for </w:t>
            </w:r>
            <w:r w:rsidR="001060C3">
              <w:t xml:space="preserve">location information </w:t>
            </w:r>
            <w:r w:rsidRPr="00F1223C">
              <w:t>to be available to law enforcement agencies.</w:t>
            </w:r>
          </w:p>
        </w:tc>
      </w:tr>
      <w:tr w:rsidR="00182C35" w14:paraId="412DD77E" w14:textId="77777777" w:rsidTr="00D15425">
        <w:tc>
          <w:tcPr>
            <w:tcW w:w="9360" w:type="dxa"/>
          </w:tcPr>
          <w:p w14:paraId="47B1B592" w14:textId="77777777" w:rsidR="0017725B" w:rsidRDefault="00B07653" w:rsidP="00246F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78F791C" w14:textId="77777777" w:rsidR="0017725B" w:rsidRDefault="0017725B" w:rsidP="00246F37">
            <w:pPr>
              <w:rPr>
                <w:b/>
                <w:u w:val="single"/>
              </w:rPr>
            </w:pPr>
          </w:p>
          <w:p w14:paraId="50DD55BC" w14:textId="1A577220" w:rsidR="00DD11BF" w:rsidRPr="00DD11BF" w:rsidRDefault="00B07653" w:rsidP="00246F3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</w:t>
            </w:r>
            <w:r>
              <w:t>of offenses, or change the eligibility of a person for community supervision, parole, or mandatory supervision.</w:t>
            </w:r>
          </w:p>
          <w:p w14:paraId="15A39F95" w14:textId="77777777" w:rsidR="0017725B" w:rsidRPr="0017725B" w:rsidRDefault="0017725B" w:rsidP="00246F37">
            <w:pPr>
              <w:rPr>
                <w:b/>
                <w:u w:val="single"/>
              </w:rPr>
            </w:pPr>
          </w:p>
        </w:tc>
      </w:tr>
      <w:tr w:rsidR="00182C35" w14:paraId="0A994E6A" w14:textId="77777777" w:rsidTr="00D15425">
        <w:tc>
          <w:tcPr>
            <w:tcW w:w="9360" w:type="dxa"/>
          </w:tcPr>
          <w:p w14:paraId="16B0D7BD" w14:textId="77777777" w:rsidR="008423E4" w:rsidRPr="00A8133F" w:rsidRDefault="00B07653" w:rsidP="00246F3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95134C5" w14:textId="77777777" w:rsidR="008423E4" w:rsidRDefault="008423E4" w:rsidP="00246F37"/>
          <w:p w14:paraId="14322E47" w14:textId="52B11E8C" w:rsidR="00DD11BF" w:rsidRDefault="00B07653" w:rsidP="00246F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14:paraId="602BC7B5" w14:textId="77777777" w:rsidR="008423E4" w:rsidRPr="00E21FDC" w:rsidRDefault="008423E4" w:rsidP="00246F37">
            <w:pPr>
              <w:rPr>
                <w:b/>
              </w:rPr>
            </w:pPr>
          </w:p>
        </w:tc>
      </w:tr>
      <w:tr w:rsidR="00182C35" w14:paraId="0C220804" w14:textId="77777777" w:rsidTr="00D15425">
        <w:tc>
          <w:tcPr>
            <w:tcW w:w="9360" w:type="dxa"/>
          </w:tcPr>
          <w:p w14:paraId="633FCFE5" w14:textId="19CB864A" w:rsidR="008423E4" w:rsidRDefault="00B07653" w:rsidP="00246F3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FEB96B5" w14:textId="77777777" w:rsidR="002A7A4A" w:rsidRPr="00DD11BF" w:rsidRDefault="002A7A4A" w:rsidP="00246F37">
            <w:pPr>
              <w:rPr>
                <w:b/>
              </w:rPr>
            </w:pPr>
          </w:p>
          <w:p w14:paraId="7360BFD4" w14:textId="2ECE2822" w:rsidR="0085317B" w:rsidRDefault="00B07653" w:rsidP="00246F37">
            <w:pPr>
              <w:pStyle w:val="Header"/>
              <w:jc w:val="both"/>
            </w:pPr>
            <w:r>
              <w:t>C.S.</w:t>
            </w:r>
            <w:r w:rsidR="00802043">
              <w:t>H.B. 3363 amends the Code of Criminal Procedure to require a warrant</w:t>
            </w:r>
            <w:r w:rsidR="00802043" w:rsidRPr="00802043">
              <w:t xml:space="preserve"> to obtain the disclosure of location information </w:t>
            </w:r>
            <w:r w:rsidR="00802043">
              <w:t xml:space="preserve">that is held in electronic storage in the possession, care, custody, or control of </w:t>
            </w:r>
            <w:r w:rsidR="006D4080">
              <w:t>an</w:t>
            </w:r>
            <w:r w:rsidR="00802043">
              <w:t xml:space="preserve"> electronic communications service </w:t>
            </w:r>
            <w:r w:rsidR="006D4080">
              <w:t xml:space="preserve">provider </w:t>
            </w:r>
            <w:r w:rsidR="00802043">
              <w:t xml:space="preserve">or a remote computing service </w:t>
            </w:r>
            <w:r w:rsidR="006D4080">
              <w:t xml:space="preserve">provider </w:t>
            </w:r>
            <w:r w:rsidR="00802043">
              <w:t xml:space="preserve">and </w:t>
            </w:r>
            <w:r w:rsidR="00AB47CF">
              <w:t xml:space="preserve">that is </w:t>
            </w:r>
            <w:r w:rsidR="00802043">
              <w:t>created after the issuance of the warrant.</w:t>
            </w:r>
            <w:r w:rsidR="00802043" w:rsidRPr="00802043">
              <w:t xml:space="preserve"> </w:t>
            </w:r>
            <w:r w:rsidR="00FB2037">
              <w:t xml:space="preserve">The bill </w:t>
            </w:r>
            <w:r w:rsidR="00197F9F">
              <w:t xml:space="preserve">subjects such a warrant to statutory </w:t>
            </w:r>
            <w:r w:rsidR="00FB2037">
              <w:t>provisions</w:t>
            </w:r>
            <w:r w:rsidR="00AB47CF">
              <w:t xml:space="preserve"> </w:t>
            </w:r>
            <w:r w:rsidR="004B0D0A">
              <w:t>governing the execution of and compliance with</w:t>
            </w:r>
            <w:r w:rsidR="00FB2037">
              <w:t xml:space="preserve"> a warrant</w:t>
            </w:r>
            <w:r w:rsidR="00AB47CF">
              <w:t xml:space="preserve"> for </w:t>
            </w:r>
            <w:r w:rsidR="00FB2037" w:rsidRPr="00AB47CF">
              <w:t xml:space="preserve">access to </w:t>
            </w:r>
            <w:r w:rsidR="00197F9F">
              <w:t>electronic</w:t>
            </w:r>
            <w:r w:rsidR="00FB2037" w:rsidRPr="00AB47CF">
              <w:t xml:space="preserve"> customer data</w:t>
            </w:r>
            <w:r w:rsidR="00FB2037">
              <w:t xml:space="preserve"> </w:t>
            </w:r>
            <w:r w:rsidR="00197F9F">
              <w:t>held in electronic storage</w:t>
            </w:r>
            <w:r w:rsidR="004B0D0A">
              <w:t xml:space="preserve"> and the authentication of related records by a service provider</w:t>
            </w:r>
            <w:r w:rsidR="00B26C2C">
              <w:t xml:space="preserve">. </w:t>
            </w:r>
          </w:p>
          <w:p w14:paraId="27F2239D" w14:textId="77777777" w:rsidR="0085317B" w:rsidRDefault="0085317B" w:rsidP="00246F37">
            <w:pPr>
              <w:pStyle w:val="Header"/>
              <w:jc w:val="both"/>
            </w:pPr>
          </w:p>
          <w:p w14:paraId="5271966B" w14:textId="5D266A26" w:rsidR="00D33AD1" w:rsidRDefault="00B07653" w:rsidP="00246F37">
            <w:pPr>
              <w:pStyle w:val="Header"/>
              <w:jc w:val="both"/>
            </w:pPr>
            <w:r>
              <w:t xml:space="preserve">C.S.H.B. 3363 </w:t>
            </w:r>
            <w:r w:rsidR="00766CDE">
              <w:t xml:space="preserve">defines </w:t>
            </w:r>
            <w:r w:rsidR="00F90FAA">
              <w:t>"</w:t>
            </w:r>
            <w:r w:rsidR="00766CDE">
              <w:t>location information</w:t>
            </w:r>
            <w:r w:rsidR="00F90FAA">
              <w:t>"</w:t>
            </w:r>
            <w:r w:rsidR="00AB47CF">
              <w:t xml:space="preserve"> as </w:t>
            </w:r>
            <w:r w:rsidR="00AB47CF" w:rsidRPr="00AB47CF">
              <w:t xml:space="preserve">data, records, or other information that is created by or accessible to a </w:t>
            </w:r>
            <w:r w:rsidR="006B1A8E" w:rsidRPr="006B1A8E">
              <w:t xml:space="preserve">provider of an electronic communications service or a provider of a remote computing service </w:t>
            </w:r>
            <w:r w:rsidR="00AB47CF" w:rsidRPr="00AB47CF">
              <w:t>and may be used to identify the geographic physical location of a communication device, including the current, real-time, or prospective geographic physical location of a communication device</w:t>
            </w:r>
            <w:r w:rsidR="00766CDE">
              <w:t xml:space="preserve">. </w:t>
            </w:r>
            <w:r>
              <w:t>The bill specifies that</w:t>
            </w:r>
            <w:r w:rsidR="00F90FAA">
              <w:t xml:space="preserve"> </w:t>
            </w:r>
            <w:r w:rsidR="00B26C2C">
              <w:t xml:space="preserve">data or records that contain </w:t>
            </w:r>
            <w:r>
              <w:t xml:space="preserve">location information </w:t>
            </w:r>
            <w:r w:rsidR="00C857F1">
              <w:t xml:space="preserve">are </w:t>
            </w:r>
            <w:r>
              <w:t>included in the definition of "electronic customer data"</w:t>
            </w:r>
            <w:r w:rsidR="00B26C2C">
              <w:t xml:space="preserve"> for purposes of provisions governing access to </w:t>
            </w:r>
            <w:r w:rsidR="00556B16">
              <w:t>such information</w:t>
            </w:r>
            <w:r w:rsidR="00B26C2C">
              <w:t>.</w:t>
            </w:r>
          </w:p>
          <w:p w14:paraId="3C53556F" w14:textId="77777777" w:rsidR="00D33AD1" w:rsidRDefault="00D33AD1" w:rsidP="00246F37">
            <w:pPr>
              <w:pStyle w:val="Header"/>
              <w:jc w:val="both"/>
            </w:pPr>
          </w:p>
          <w:p w14:paraId="7F445277" w14:textId="0251EA3C" w:rsidR="009C2AC4" w:rsidRDefault="00B07653" w:rsidP="00246F37">
            <w:pPr>
              <w:pStyle w:val="Header"/>
              <w:jc w:val="both"/>
            </w:pPr>
            <w:r w:rsidRPr="00D33AD1">
              <w:t xml:space="preserve">C.S.H.B. 3363 </w:t>
            </w:r>
            <w:r w:rsidR="00F90FAA">
              <w:t xml:space="preserve">limits the filing of an application for the warrant to </w:t>
            </w:r>
            <w:r w:rsidR="00E061DF" w:rsidRPr="00E061DF">
              <w:t xml:space="preserve">a prosecutor or a prosecutor's </w:t>
            </w:r>
            <w:r w:rsidR="006D4080">
              <w:t xml:space="preserve">assistant with jurisdiction </w:t>
            </w:r>
            <w:r w:rsidR="00F90FAA">
              <w:t>in a county within the</w:t>
            </w:r>
            <w:r w:rsidR="006D4080">
              <w:t xml:space="preserve"> judicial district</w:t>
            </w:r>
            <w:r w:rsidR="00E061DF">
              <w:t xml:space="preserve"> </w:t>
            </w:r>
            <w:r w:rsidR="00F90FAA">
              <w:t xml:space="preserve">containing the headquarters of the office of the prosecutor or </w:t>
            </w:r>
            <w:r w:rsidR="00D63571">
              <w:t xml:space="preserve">of </w:t>
            </w:r>
            <w:r w:rsidR="00F90FAA">
              <w:t xml:space="preserve">the law enforcement agency that requests the application for the warrant to be filed or proposes to execute </w:t>
            </w:r>
            <w:r w:rsidR="001919A7">
              <w:t xml:space="preserve">the </w:t>
            </w:r>
            <w:r w:rsidR="00F90FAA">
              <w:t>order</w:t>
            </w:r>
            <w:r w:rsidR="001919A7">
              <w:t xml:space="preserve">. The </w:t>
            </w:r>
            <w:r w:rsidR="00E061DF">
              <w:t>application</w:t>
            </w:r>
            <w:r w:rsidR="00D63571">
              <w:t xml:space="preserve"> must</w:t>
            </w:r>
            <w:r w:rsidR="00E061DF" w:rsidRPr="00E061DF">
              <w:t xml:space="preserve"> be supported by </w:t>
            </w:r>
            <w:r w:rsidR="00E061DF">
              <w:t>a</w:t>
            </w:r>
            <w:r w:rsidR="00E061DF" w:rsidRPr="00E061DF">
              <w:t xml:space="preserve"> sworn affidavit</w:t>
            </w:r>
            <w:r w:rsidR="00E061DF">
              <w:t xml:space="preserve"> </w:t>
            </w:r>
            <w:r w:rsidR="00E061DF" w:rsidRPr="00E061DF">
              <w:t>setting forth substantial facts establishing probable cause</w:t>
            </w:r>
            <w:r w:rsidR="002629F6">
              <w:t xml:space="preserve"> and filed with a district judge in the applicable judicial district on the prosecutor's or assistant's own motion or the request of an authorized peace officer </w:t>
            </w:r>
            <w:r w:rsidR="002629F6" w:rsidRPr="002629F6">
              <w:t xml:space="preserve">of a designated law enforcement office or agency or an authorized peace officer commissioned by the </w:t>
            </w:r>
            <w:r w:rsidR="00F7727F">
              <w:t>D</w:t>
            </w:r>
            <w:r w:rsidR="002629F6" w:rsidRPr="002629F6">
              <w:t>epartment</w:t>
            </w:r>
            <w:r w:rsidR="00F7727F">
              <w:t xml:space="preserve"> of Public Safety</w:t>
            </w:r>
            <w:r w:rsidR="00140F44">
              <w:t xml:space="preserve"> (DPS)</w:t>
            </w:r>
            <w:r w:rsidR="00E061DF">
              <w:t>.</w:t>
            </w:r>
            <w:r>
              <w:t xml:space="preserve"> The bill </w:t>
            </w:r>
            <w:r w:rsidR="006D4080">
              <w:t xml:space="preserve">authorizes </w:t>
            </w:r>
            <w:r w:rsidR="006D4080" w:rsidRPr="006D4080">
              <w:t xml:space="preserve">a district judge </w:t>
            </w:r>
            <w:r w:rsidR="006D4080">
              <w:t>to</w:t>
            </w:r>
            <w:r w:rsidR="006D4080" w:rsidRPr="006D4080">
              <w:t xml:space="preserve"> issue the warrant to obtain the disclosure of location informati</w:t>
            </w:r>
            <w:r>
              <w:t xml:space="preserve">on by </w:t>
            </w:r>
            <w:r w:rsidR="00BB1791">
              <w:t>a</w:t>
            </w:r>
            <w:r w:rsidR="00BB1791" w:rsidRPr="006D4080">
              <w:t xml:space="preserve"> </w:t>
            </w:r>
            <w:r w:rsidR="006D4080" w:rsidRPr="006D4080">
              <w:t>provider</w:t>
            </w:r>
            <w:r w:rsidR="006D4080">
              <w:t xml:space="preserve"> </w:t>
            </w:r>
            <w:r w:rsidR="00BB1791" w:rsidRPr="006B1A8E">
              <w:t xml:space="preserve">that is a domestic entity or a company or entity otherwise doing business in </w:t>
            </w:r>
            <w:r w:rsidR="00BB1791">
              <w:t>Texas</w:t>
            </w:r>
            <w:r w:rsidR="00BB1791" w:rsidRPr="006B1A8E">
              <w:t xml:space="preserve"> under a contract</w:t>
            </w:r>
            <w:r w:rsidR="00BB1791">
              <w:t xml:space="preserve"> or a terms of service agreement with a Texas resident </w:t>
            </w:r>
            <w:r w:rsidR="006D4080" w:rsidRPr="006D4080">
              <w:t xml:space="preserve">regardless of whether the location information is held at a location in </w:t>
            </w:r>
            <w:r>
              <w:t>Texas</w:t>
            </w:r>
            <w:r w:rsidR="005D50EB">
              <w:t xml:space="preserve"> or another state.</w:t>
            </w:r>
            <w:r>
              <w:t xml:space="preserve"> The bill prohibits the</w:t>
            </w:r>
            <w:r w:rsidRPr="009C2AC4">
              <w:t xml:space="preserve"> </w:t>
            </w:r>
            <w:r w:rsidR="006B1A8E">
              <w:t xml:space="preserve">issuance of the </w:t>
            </w:r>
            <w:r w:rsidRPr="009C2AC4">
              <w:t xml:space="preserve">warrant </w:t>
            </w:r>
            <w:r>
              <w:t xml:space="preserve">unless the </w:t>
            </w:r>
            <w:r>
              <w:t>sworn affidavit</w:t>
            </w:r>
            <w:r w:rsidRPr="009C2AC4">
              <w:t xml:space="preserve"> provides sufficient and substantial facts to establish probable cause </w:t>
            </w:r>
            <w:r>
              <w:t>that:</w:t>
            </w:r>
          </w:p>
          <w:p w14:paraId="7B1C8F65" w14:textId="77777777" w:rsidR="008423E4" w:rsidRDefault="00B07653" w:rsidP="00246F37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disclosure of the location information sought will produce evidence of an offense under investigation or result in the apprehension of a fugitive from justice; </w:t>
            </w:r>
            <w:r>
              <w:t>and</w:t>
            </w:r>
          </w:p>
          <w:p w14:paraId="11B612C0" w14:textId="7926807C" w:rsidR="009C2AC4" w:rsidRDefault="00B07653" w:rsidP="00246F37">
            <w:pPr>
              <w:pStyle w:val="Header"/>
              <w:numPr>
                <w:ilvl w:val="0"/>
                <w:numId w:val="1"/>
              </w:numPr>
              <w:jc w:val="both"/>
            </w:pPr>
            <w:r w:rsidRPr="009C2AC4">
              <w:t>the location information sought is held in electronic storage in the possession, care, custody, or control of the service provider on which the warrant is served.</w:t>
            </w:r>
          </w:p>
          <w:p w14:paraId="551C1AA5" w14:textId="77777777" w:rsidR="00072B34" w:rsidRDefault="00072B34" w:rsidP="00246F37">
            <w:pPr>
              <w:pStyle w:val="Header"/>
              <w:ind w:left="720"/>
              <w:jc w:val="both"/>
            </w:pPr>
          </w:p>
          <w:p w14:paraId="10FA0960" w14:textId="7C9089CD" w:rsidR="005D50EB" w:rsidRDefault="00B07653" w:rsidP="00246F37">
            <w:pPr>
              <w:pStyle w:val="Header"/>
              <w:jc w:val="both"/>
            </w:pPr>
            <w:r>
              <w:t>C.S.H.B.</w:t>
            </w:r>
            <w:r w:rsidR="006B1A8E">
              <w:t xml:space="preserve"> </w:t>
            </w:r>
            <w:r>
              <w:t xml:space="preserve">3363 </w:t>
            </w:r>
            <w:r w:rsidR="009C4A9E">
              <w:t>establishes the period allowed for the execution of the warrant at 10 whole days within the</w:t>
            </w:r>
            <w:r w:rsidR="009C4A9E" w:rsidRPr="009C4A9E">
              <w:t xml:space="preserve"> issuance </w:t>
            </w:r>
            <w:r w:rsidR="009C4A9E">
              <w:t xml:space="preserve">of the warrant but provides for an exception with respect to a </w:t>
            </w:r>
            <w:r w:rsidR="009C4A9E" w:rsidRPr="00766CDE">
              <w:t xml:space="preserve">magistrate </w:t>
            </w:r>
            <w:r w:rsidR="009C4A9E">
              <w:t xml:space="preserve">who </w:t>
            </w:r>
            <w:r w:rsidR="009C4A9E" w:rsidRPr="00766CDE">
              <w:t xml:space="preserve">directs a shorter period </w:t>
            </w:r>
            <w:r w:rsidR="002D6240">
              <w:t xml:space="preserve">in the warrant </w:t>
            </w:r>
            <w:r w:rsidR="009C4A9E" w:rsidRPr="00766CDE">
              <w:t xml:space="preserve">for </w:t>
            </w:r>
            <w:r w:rsidR="002D6240">
              <w:t>its</w:t>
            </w:r>
            <w:r w:rsidR="009C4A9E" w:rsidRPr="00766CDE">
              <w:t xml:space="preserve"> execution</w:t>
            </w:r>
            <w:r w:rsidR="009C4A9E">
              <w:t xml:space="preserve">. The bill </w:t>
            </w:r>
            <w:r>
              <w:t xml:space="preserve">establishes that the </w:t>
            </w:r>
            <w:r w:rsidR="001C221E">
              <w:t>warrant</w:t>
            </w:r>
            <w:r w:rsidRPr="005D50EB">
              <w:t xml:space="preserve"> is valid for a period </w:t>
            </w:r>
            <w:r w:rsidR="002D6240">
              <w:t xml:space="preserve">not to exceed </w:t>
            </w:r>
            <w:r w:rsidRPr="005D50EB">
              <w:t>60 days after the date the warrant is issued, unless the prosecutor or prosecutor's assistant applies for and obtains an extension of that period from the cou</w:t>
            </w:r>
            <w:r>
              <w:t>rt before the warrant expires</w:t>
            </w:r>
            <w:r w:rsidR="00DD11BF">
              <w:t>. The bill</w:t>
            </w:r>
            <w:r w:rsidR="00A92F1F">
              <w:t xml:space="preserve"> </w:t>
            </w:r>
            <w:r w:rsidR="00140F44">
              <w:t>limits</w:t>
            </w:r>
            <w:r>
              <w:t xml:space="preserve"> e</w:t>
            </w:r>
            <w:r w:rsidRPr="005D50EB">
              <w:t>ach exten</w:t>
            </w:r>
            <w:r w:rsidRPr="005D50EB">
              <w:t xml:space="preserve">sion </w:t>
            </w:r>
            <w:r>
              <w:t>to</w:t>
            </w:r>
            <w:r w:rsidRPr="005D50EB">
              <w:t xml:space="preserve"> a period of 60 days.</w:t>
            </w:r>
            <w:r w:rsidR="001C221E">
              <w:t xml:space="preserve"> The bill requires a district court that issues </w:t>
            </w:r>
            <w:r w:rsidR="00DD11BF">
              <w:t>the</w:t>
            </w:r>
            <w:r w:rsidR="001C221E" w:rsidRPr="001C221E">
              <w:t xml:space="preserve"> warrant </w:t>
            </w:r>
            <w:r w:rsidR="001C221E">
              <w:t>to order</w:t>
            </w:r>
            <w:r w:rsidR="001C221E" w:rsidRPr="001C221E">
              <w:t xml:space="preserve"> the warrant and the application for the warrant sealed and </w:t>
            </w:r>
            <w:r w:rsidR="001C221E">
              <w:t xml:space="preserve">prohibits the court from </w:t>
            </w:r>
            <w:r w:rsidR="001C221E" w:rsidRPr="001C221E">
              <w:t>unseal</w:t>
            </w:r>
            <w:r w:rsidR="001C221E">
              <w:t>ing</w:t>
            </w:r>
            <w:r w:rsidR="001C221E" w:rsidRPr="001C221E">
              <w:t xml:space="preserve"> the warrant and application until after the warrant expires.</w:t>
            </w:r>
            <w:r w:rsidR="009C4A9E">
              <w:t xml:space="preserve"> </w:t>
            </w:r>
          </w:p>
          <w:p w14:paraId="63464F23" w14:textId="77777777" w:rsidR="001C221E" w:rsidRDefault="001C221E" w:rsidP="00246F37">
            <w:pPr>
              <w:pStyle w:val="Header"/>
              <w:jc w:val="both"/>
            </w:pPr>
          </w:p>
          <w:p w14:paraId="1B56D273" w14:textId="14C68C9C" w:rsidR="001C221E" w:rsidRDefault="00B07653" w:rsidP="00246F37">
            <w:pPr>
              <w:pStyle w:val="Header"/>
              <w:jc w:val="both"/>
            </w:pPr>
            <w:r>
              <w:t>C.</w:t>
            </w:r>
            <w:r>
              <w:t xml:space="preserve">S.H.B. 3363 authorizes an </w:t>
            </w:r>
            <w:r w:rsidR="006C597E" w:rsidRPr="006C597E">
              <w:t xml:space="preserve">authorized peace officer of a designated law enforcement office or agency or an authorized peace officer commissioned by </w:t>
            </w:r>
            <w:r w:rsidR="00140F44">
              <w:t>DPS</w:t>
            </w:r>
            <w:r w:rsidR="006C597E">
              <w:t xml:space="preserve"> </w:t>
            </w:r>
            <w:r>
              <w:t>to require the emergency disclosure of the applicable location information without a warrant under the fo</w:t>
            </w:r>
            <w:r>
              <w:t>llowing conditions:</w:t>
            </w:r>
          </w:p>
          <w:p w14:paraId="6CD44C5B" w14:textId="44C1CBE3" w:rsidR="001C221E" w:rsidRDefault="00B07653" w:rsidP="00246F37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officer reasonably believes an immediate life-threatening situation</w:t>
            </w:r>
            <w:r w:rsidR="00B26C2C">
              <w:t>, as defined by law,</w:t>
            </w:r>
            <w:r>
              <w:t xml:space="preserve"> exists that is within the officer's territorial jurisdiction and </w:t>
            </w:r>
            <w:r w:rsidR="00140F44">
              <w:t xml:space="preserve">that </w:t>
            </w:r>
            <w:r>
              <w:t xml:space="preserve">requires the disclosure of the location information before a warrant can, </w:t>
            </w:r>
            <w:r>
              <w:t>with due diligence, be obtained; and</w:t>
            </w:r>
          </w:p>
          <w:p w14:paraId="2782434F" w14:textId="1D93759B" w:rsidR="001C221E" w:rsidRDefault="00B07653" w:rsidP="00246F37">
            <w:pPr>
              <w:pStyle w:val="Header"/>
              <w:numPr>
                <w:ilvl w:val="0"/>
                <w:numId w:val="2"/>
              </w:numPr>
              <w:jc w:val="both"/>
            </w:pPr>
            <w:r w:rsidRPr="001C221E">
              <w:t xml:space="preserve">there are sufficient grounds </w:t>
            </w:r>
            <w:r>
              <w:t xml:space="preserve">under the bill's provisions </w:t>
            </w:r>
            <w:r w:rsidRPr="001C221E">
              <w:t>on which to obtain a w</w:t>
            </w:r>
            <w:r w:rsidR="00DD11BF">
              <w:t>arrant requiring the disclosure.</w:t>
            </w:r>
          </w:p>
          <w:p w14:paraId="4B5CF81A" w14:textId="3B5CC048" w:rsidR="005D50EB" w:rsidRDefault="00B07653" w:rsidP="00246F37">
            <w:pPr>
              <w:pStyle w:val="Header"/>
              <w:jc w:val="both"/>
            </w:pPr>
            <w:r>
              <w:t xml:space="preserve">The bill requires </w:t>
            </w:r>
            <w:r w:rsidRPr="009555C4">
              <w:t>the peace officer</w:t>
            </w:r>
            <w:r>
              <w:t>, not</w:t>
            </w:r>
            <w:r w:rsidRPr="009555C4">
              <w:t xml:space="preserve"> later than 48 hours after requiring </w:t>
            </w:r>
            <w:r w:rsidR="00DD11BF">
              <w:t xml:space="preserve">the </w:t>
            </w:r>
            <w:r w:rsidRPr="009555C4">
              <w:t>disclosure of location inf</w:t>
            </w:r>
            <w:r w:rsidRPr="009555C4">
              <w:t>ormation without a warrant</w:t>
            </w:r>
            <w:r>
              <w:t>,</w:t>
            </w:r>
            <w:r w:rsidRPr="009555C4">
              <w:t xml:space="preserve"> </w:t>
            </w:r>
            <w:r>
              <w:t>to</w:t>
            </w:r>
            <w:r w:rsidRPr="009555C4">
              <w:t xml:space="preserve"> ob</w:t>
            </w:r>
            <w:r>
              <w:t>tain a warrant for that purpose.</w:t>
            </w:r>
          </w:p>
          <w:p w14:paraId="48A6E572" w14:textId="77777777" w:rsidR="009555C4" w:rsidRDefault="009555C4" w:rsidP="00246F37">
            <w:pPr>
              <w:pStyle w:val="Header"/>
              <w:jc w:val="both"/>
            </w:pPr>
          </w:p>
          <w:p w14:paraId="6DC79DFB" w14:textId="200CF120" w:rsidR="00D31283" w:rsidRDefault="00B07653" w:rsidP="00246F37">
            <w:pPr>
              <w:pStyle w:val="Header"/>
              <w:jc w:val="both"/>
            </w:pPr>
            <w:r>
              <w:t>C.S.</w:t>
            </w:r>
            <w:r w:rsidR="009555C4">
              <w:t>H.B. 3363 prohibits the state from using as evidence in a criminal proceeding any information obtained through the required disclosure of location information, unless a warrant is obtained before requiring the disclosure or, if emergency disclosure is required before a warrant can be obtained, the authorized</w:t>
            </w:r>
            <w:r w:rsidR="00A02B79">
              <w:t xml:space="preserve"> peace officer who required that </w:t>
            </w:r>
            <w:r w:rsidR="009555C4">
              <w:t xml:space="preserve">disclosure obtains a warrant within the required period. </w:t>
            </w:r>
          </w:p>
          <w:p w14:paraId="34A5316F" w14:textId="3FF6B5F0" w:rsidR="00D31283" w:rsidRDefault="00D31283" w:rsidP="00246F37">
            <w:pPr>
              <w:pStyle w:val="Header"/>
              <w:jc w:val="both"/>
            </w:pPr>
          </w:p>
          <w:p w14:paraId="6622AE59" w14:textId="3F86F48E" w:rsidR="004C4059" w:rsidRDefault="00B07653" w:rsidP="00246F37">
            <w:pPr>
              <w:pStyle w:val="Header"/>
              <w:jc w:val="both"/>
            </w:pPr>
            <w:r>
              <w:t>C.S.H.B. 3363</w:t>
            </w:r>
            <w:r w:rsidR="008D2D3C" w:rsidRPr="005A79B4">
              <w:t xml:space="preserve"> removes a specification that the</w:t>
            </w:r>
            <w:r w:rsidRPr="005A79B4">
              <w:t xml:space="preserve"> return of a search warrant to the proper magistrate by the</w:t>
            </w:r>
            <w:r w:rsidR="008D2D3C" w:rsidRPr="005A79B4">
              <w:t xml:space="preserve"> applicable </w:t>
            </w:r>
            <w:r w:rsidR="00D31283" w:rsidRPr="00717688">
              <w:t>peace officer is forthwith.</w:t>
            </w:r>
            <w:r w:rsidR="00D31283">
              <w:t xml:space="preserve">  </w:t>
            </w:r>
          </w:p>
          <w:p w14:paraId="1D641777" w14:textId="5DC447EC" w:rsidR="00B26C2C" w:rsidRDefault="00B26C2C" w:rsidP="00246F37">
            <w:pPr>
              <w:pStyle w:val="Header"/>
              <w:jc w:val="both"/>
            </w:pPr>
          </w:p>
          <w:p w14:paraId="250A8364" w14:textId="77777777" w:rsidR="00A02B79" w:rsidRDefault="00B07653" w:rsidP="00246F37">
            <w:pPr>
              <w:pStyle w:val="Header"/>
              <w:jc w:val="both"/>
            </w:pPr>
            <w:r>
              <w:t xml:space="preserve">C.S.H.B. 3363 repeals </w:t>
            </w:r>
            <w:r w:rsidRPr="00A02B79">
              <w:t>Article 18B.151</w:t>
            </w:r>
            <w:r>
              <w:t>(a), Code of Criminal Procedure.</w:t>
            </w:r>
          </w:p>
          <w:p w14:paraId="36483B91" w14:textId="0F03EF93" w:rsidR="002A7A4A" w:rsidRPr="009C2AC4" w:rsidRDefault="002A7A4A" w:rsidP="00246F37">
            <w:pPr>
              <w:pStyle w:val="Header"/>
              <w:jc w:val="both"/>
            </w:pPr>
          </w:p>
        </w:tc>
      </w:tr>
      <w:tr w:rsidR="00182C35" w14:paraId="731DD498" w14:textId="77777777" w:rsidTr="00D15425">
        <w:tc>
          <w:tcPr>
            <w:tcW w:w="9360" w:type="dxa"/>
          </w:tcPr>
          <w:p w14:paraId="109A28DE" w14:textId="77777777" w:rsidR="008423E4" w:rsidRPr="00A8133F" w:rsidRDefault="00B07653" w:rsidP="00246F3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51E94F5" w14:textId="77777777" w:rsidR="008423E4" w:rsidRDefault="008423E4" w:rsidP="00246F37"/>
          <w:p w14:paraId="01453959" w14:textId="77777777" w:rsidR="008423E4" w:rsidRPr="003624F2" w:rsidRDefault="00B07653" w:rsidP="00246F3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7B5C39A" w14:textId="77777777" w:rsidR="008423E4" w:rsidRPr="00233FDB" w:rsidRDefault="008423E4" w:rsidP="00246F37">
            <w:pPr>
              <w:rPr>
                <w:b/>
              </w:rPr>
            </w:pPr>
          </w:p>
        </w:tc>
      </w:tr>
      <w:tr w:rsidR="00182C35" w14:paraId="1AC31218" w14:textId="77777777" w:rsidTr="00D15425">
        <w:tc>
          <w:tcPr>
            <w:tcW w:w="9360" w:type="dxa"/>
          </w:tcPr>
          <w:p w14:paraId="504F614A" w14:textId="77777777" w:rsidR="00351DAE" w:rsidRDefault="00B07653" w:rsidP="00351DA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DBB365C" w14:textId="77777777" w:rsidR="00657A52" w:rsidRDefault="00657A52" w:rsidP="00351DAE">
            <w:pPr>
              <w:jc w:val="both"/>
              <w:rPr>
                <w:b/>
                <w:u w:val="single"/>
              </w:rPr>
            </w:pPr>
          </w:p>
          <w:p w14:paraId="082979B3" w14:textId="77777777" w:rsidR="00D15425" w:rsidRDefault="00B07653" w:rsidP="00D15425">
            <w:pPr>
              <w:jc w:val="both"/>
            </w:pPr>
            <w:r>
              <w:t>While C.S.H.B. 3363 may differ from the original in minor or nonsubstantive ways, the followi</w:t>
            </w:r>
            <w:r>
              <w:t>ng summarizes the substantial differences between the introduced and committee substitute versions of the bill.</w:t>
            </w:r>
          </w:p>
          <w:p w14:paraId="3A2E79DB" w14:textId="77777777" w:rsidR="00D15425" w:rsidRDefault="00D15425" w:rsidP="00D15425">
            <w:pPr>
              <w:jc w:val="both"/>
            </w:pPr>
          </w:p>
          <w:p w14:paraId="24059862" w14:textId="77777777" w:rsidR="00D15425" w:rsidRDefault="00B07653" w:rsidP="00D15425">
            <w:pPr>
              <w:jc w:val="both"/>
            </w:pPr>
            <w:r>
              <w:t>The substitute makes the following changes to the original's provisions with regard to location information:</w:t>
            </w:r>
          </w:p>
          <w:p w14:paraId="05B3A891" w14:textId="485C5430" w:rsidR="00D15425" w:rsidRDefault="00B07653" w:rsidP="00D1542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includes location information in the definition of "electronic customer data" for purposes of provisions governing access to </w:t>
            </w:r>
            <w:r w:rsidR="00556B16">
              <w:t>such information</w:t>
            </w:r>
            <w:r>
              <w:t>, whereas the original excluded location information from that definition and made related changes in provisions go</w:t>
            </w:r>
            <w:r>
              <w:t xml:space="preserve">verning the general grounds for the issuance of a search warrant; </w:t>
            </w:r>
          </w:p>
          <w:p w14:paraId="585688A8" w14:textId="77777777" w:rsidR="00D15425" w:rsidRDefault="00B07653" w:rsidP="00D1542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does not include location information among the stored information covered by the definition of "electronic storage," as in the original; and</w:t>
            </w:r>
          </w:p>
          <w:p w14:paraId="0AC587E6" w14:textId="77777777" w:rsidR="00D15425" w:rsidRDefault="00B07653" w:rsidP="00D1542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changes the original's definition of "location </w:t>
            </w:r>
            <w:r>
              <w:t>information" from information, other than electronic customer data, that reveals the location of a wireless communications device obtained by specified methods to data, records, or other information that is created by or accessible to a provider of an elec</w:t>
            </w:r>
            <w:r>
              <w:t xml:space="preserve">tronic communications service or a provider of a remote computing service and that may be used to identify the geographic physical location of a communication device, including the current, real-time, or prospective location. </w:t>
            </w:r>
          </w:p>
          <w:p w14:paraId="56FB477D" w14:textId="77777777" w:rsidR="00D15425" w:rsidRDefault="00D15425" w:rsidP="00D15425">
            <w:pPr>
              <w:jc w:val="both"/>
            </w:pPr>
          </w:p>
          <w:p w14:paraId="00F26473" w14:textId="77777777" w:rsidR="00D15425" w:rsidRDefault="00B07653" w:rsidP="00D15425">
            <w:pPr>
              <w:jc w:val="both"/>
            </w:pPr>
            <w:r>
              <w:t>The substitute does not incl</w:t>
            </w:r>
            <w:r>
              <w:t xml:space="preserve">ude a provision that appeared in the original limiting the location information that may be seized under a warrant under the bill's provisions to </w:t>
            </w:r>
            <w:r w:rsidRPr="001A57A6">
              <w:t>location information described in the applicable</w:t>
            </w:r>
            <w:r>
              <w:t xml:space="preserve"> sworn</w:t>
            </w:r>
            <w:r w:rsidRPr="001A57A6">
              <w:t xml:space="preserve"> affidavit</w:t>
            </w:r>
            <w:r>
              <w:t xml:space="preserve">. </w:t>
            </w:r>
          </w:p>
          <w:p w14:paraId="6E0441AD" w14:textId="77777777" w:rsidR="00D15425" w:rsidRDefault="00D15425" w:rsidP="00D15425">
            <w:pPr>
              <w:jc w:val="both"/>
            </w:pPr>
          </w:p>
          <w:p w14:paraId="5564E571" w14:textId="34588901" w:rsidR="00D15425" w:rsidRPr="00351DAE" w:rsidRDefault="00B07653" w:rsidP="00D15425">
            <w:pPr>
              <w:jc w:val="both"/>
              <w:rPr>
                <w:b/>
                <w:u w:val="single"/>
              </w:rPr>
            </w:pPr>
            <w:r>
              <w:t>Whereas t</w:t>
            </w:r>
            <w:r w:rsidRPr="008D2D3C">
              <w:t>he substitute</w:t>
            </w:r>
            <w:r w:rsidRPr="008D2D3C">
              <w:t xml:space="preserve"> removes the specification that </w:t>
            </w:r>
            <w:r>
              <w:t>the nature of the applicable</w:t>
            </w:r>
            <w:r w:rsidRPr="008D2D3C">
              <w:t xml:space="preserve"> peace officer</w:t>
            </w:r>
            <w:r>
              <w:t>'s</w:t>
            </w:r>
            <w:r w:rsidRPr="008D2D3C">
              <w:t xml:space="preserve"> return </w:t>
            </w:r>
            <w:r>
              <w:t>of a search</w:t>
            </w:r>
            <w:r w:rsidRPr="008D2D3C">
              <w:t xml:space="preserve"> warrant to the proper magistrate is </w:t>
            </w:r>
            <w:r>
              <w:t>immediate</w:t>
            </w:r>
            <w:r w:rsidRPr="008D2D3C">
              <w:t>, the original</w:t>
            </w:r>
            <w:r>
              <w:t xml:space="preserve"> retained this specification</w:t>
            </w:r>
            <w:r w:rsidRPr="008D2D3C">
              <w:t>.</w:t>
            </w:r>
          </w:p>
        </w:tc>
      </w:tr>
    </w:tbl>
    <w:p w14:paraId="5A71B4DE" w14:textId="77777777" w:rsidR="008423E4" w:rsidRPr="00BE0E75" w:rsidRDefault="008423E4" w:rsidP="00246F37">
      <w:pPr>
        <w:jc w:val="both"/>
        <w:rPr>
          <w:rFonts w:ascii="Arial" w:hAnsi="Arial"/>
          <w:sz w:val="16"/>
          <w:szCs w:val="16"/>
        </w:rPr>
      </w:pPr>
    </w:p>
    <w:p w14:paraId="573486FB" w14:textId="77777777" w:rsidR="004108C3" w:rsidRPr="008423E4" w:rsidRDefault="004108C3" w:rsidP="00246F3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95A5D" w14:textId="77777777" w:rsidR="00000000" w:rsidRDefault="00B07653">
      <w:r>
        <w:separator/>
      </w:r>
    </w:p>
  </w:endnote>
  <w:endnote w:type="continuationSeparator" w:id="0">
    <w:p w14:paraId="25DDC08F" w14:textId="77777777" w:rsidR="00000000" w:rsidRDefault="00B0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5026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2C35" w14:paraId="7D143DAE" w14:textId="77777777" w:rsidTr="009C1E9A">
      <w:trPr>
        <w:cantSplit/>
      </w:trPr>
      <w:tc>
        <w:tcPr>
          <w:tcW w:w="0" w:type="pct"/>
        </w:tcPr>
        <w:p w14:paraId="21ED96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2A0634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0E70F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1188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ABFD9D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2C35" w14:paraId="1F8A2BC0" w14:textId="77777777" w:rsidTr="009C1E9A">
      <w:trPr>
        <w:cantSplit/>
      </w:trPr>
      <w:tc>
        <w:tcPr>
          <w:tcW w:w="0" w:type="pct"/>
        </w:tcPr>
        <w:p w14:paraId="0C8F27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F423F2" w14:textId="6BC299CF" w:rsidR="00EC379B" w:rsidRPr="009C1E9A" w:rsidRDefault="00B0765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25214</w:t>
          </w:r>
        </w:p>
      </w:tc>
      <w:tc>
        <w:tcPr>
          <w:tcW w:w="2453" w:type="pct"/>
        </w:tcPr>
        <w:p w14:paraId="3313F426" w14:textId="6E6CA5E4" w:rsidR="00EC379B" w:rsidRDefault="00B076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F0749">
            <w:t>21.125.1053</w:t>
          </w:r>
          <w:r>
            <w:fldChar w:fldCharType="end"/>
          </w:r>
        </w:p>
      </w:tc>
    </w:tr>
    <w:tr w:rsidR="00182C35" w14:paraId="1DA7A5A0" w14:textId="77777777" w:rsidTr="009C1E9A">
      <w:trPr>
        <w:cantSplit/>
      </w:trPr>
      <w:tc>
        <w:tcPr>
          <w:tcW w:w="0" w:type="pct"/>
        </w:tcPr>
        <w:p w14:paraId="12BD255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D4E441B" w14:textId="2A65D925" w:rsidR="00EC379B" w:rsidRPr="009C1E9A" w:rsidRDefault="00B076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16778</w:t>
          </w:r>
        </w:p>
      </w:tc>
      <w:tc>
        <w:tcPr>
          <w:tcW w:w="2453" w:type="pct"/>
        </w:tcPr>
        <w:p w14:paraId="3E97C74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FC4D83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2C35" w14:paraId="74A445B4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389B754" w14:textId="06244103" w:rsidR="00EC379B" w:rsidRDefault="00B0765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F074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54AE0F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D13078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93F1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45EB2" w14:textId="77777777" w:rsidR="00000000" w:rsidRDefault="00B07653">
      <w:r>
        <w:separator/>
      </w:r>
    </w:p>
  </w:footnote>
  <w:footnote w:type="continuationSeparator" w:id="0">
    <w:p w14:paraId="262E49C1" w14:textId="77777777" w:rsidR="00000000" w:rsidRDefault="00B07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9FB76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4517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E07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5FB"/>
    <w:multiLevelType w:val="hybridMultilevel"/>
    <w:tmpl w:val="FE7A5002"/>
    <w:lvl w:ilvl="0" w:tplc="21308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4A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12C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1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88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4B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0B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E0D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0ED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25F9"/>
    <w:multiLevelType w:val="hybridMultilevel"/>
    <w:tmpl w:val="0CA67F44"/>
    <w:lvl w:ilvl="0" w:tplc="F252C4C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4BC3B6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6D438F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B02046D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813E90F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6C0B2C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3F0BD8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890B7E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8CEFF7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BD6CFF"/>
    <w:multiLevelType w:val="hybridMultilevel"/>
    <w:tmpl w:val="740C4EC8"/>
    <w:lvl w:ilvl="0" w:tplc="C5BC3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81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27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8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44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8F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6A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2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A45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87CC0"/>
    <w:multiLevelType w:val="hybridMultilevel"/>
    <w:tmpl w:val="47D41E88"/>
    <w:lvl w:ilvl="0" w:tplc="EE4EA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58A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806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82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06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F62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467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85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B85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4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3F1C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5710A"/>
    <w:rsid w:val="000608B0"/>
    <w:rsid w:val="0006104C"/>
    <w:rsid w:val="00064BF2"/>
    <w:rsid w:val="000667BA"/>
    <w:rsid w:val="00066EA1"/>
    <w:rsid w:val="000676A7"/>
    <w:rsid w:val="00072B34"/>
    <w:rsid w:val="00073914"/>
    <w:rsid w:val="00074236"/>
    <w:rsid w:val="000746BD"/>
    <w:rsid w:val="0007494E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070C"/>
    <w:rsid w:val="0010154D"/>
    <w:rsid w:val="00102063"/>
    <w:rsid w:val="00102D3F"/>
    <w:rsid w:val="00102EC7"/>
    <w:rsid w:val="0010347D"/>
    <w:rsid w:val="001060C3"/>
    <w:rsid w:val="00110F8C"/>
    <w:rsid w:val="0011274A"/>
    <w:rsid w:val="00113522"/>
    <w:rsid w:val="0011378D"/>
    <w:rsid w:val="00115EE9"/>
    <w:rsid w:val="001169F9"/>
    <w:rsid w:val="00120797"/>
    <w:rsid w:val="00120B66"/>
    <w:rsid w:val="0012371B"/>
    <w:rsid w:val="001245C8"/>
    <w:rsid w:val="00124653"/>
    <w:rsid w:val="001247C5"/>
    <w:rsid w:val="0012754C"/>
    <w:rsid w:val="00127893"/>
    <w:rsid w:val="001312BB"/>
    <w:rsid w:val="00134FD0"/>
    <w:rsid w:val="00137D90"/>
    <w:rsid w:val="00140F44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2C35"/>
    <w:rsid w:val="00183262"/>
    <w:rsid w:val="00184B03"/>
    <w:rsid w:val="00185C59"/>
    <w:rsid w:val="00187C1B"/>
    <w:rsid w:val="001908AC"/>
    <w:rsid w:val="00190CFB"/>
    <w:rsid w:val="001919A7"/>
    <w:rsid w:val="0019457A"/>
    <w:rsid w:val="00195257"/>
    <w:rsid w:val="00195388"/>
    <w:rsid w:val="0019539E"/>
    <w:rsid w:val="001968BC"/>
    <w:rsid w:val="00197F9F"/>
    <w:rsid w:val="001A0739"/>
    <w:rsid w:val="001A0F00"/>
    <w:rsid w:val="001A2BDD"/>
    <w:rsid w:val="001A3DDF"/>
    <w:rsid w:val="001A4310"/>
    <w:rsid w:val="001A57A6"/>
    <w:rsid w:val="001B053A"/>
    <w:rsid w:val="001B26D8"/>
    <w:rsid w:val="001B28F5"/>
    <w:rsid w:val="001B3BFA"/>
    <w:rsid w:val="001B75B8"/>
    <w:rsid w:val="001C1230"/>
    <w:rsid w:val="001C221E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5A2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1F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6F37"/>
    <w:rsid w:val="00247D27"/>
    <w:rsid w:val="00250A50"/>
    <w:rsid w:val="00251ED5"/>
    <w:rsid w:val="00255EB6"/>
    <w:rsid w:val="00257429"/>
    <w:rsid w:val="00260FA4"/>
    <w:rsid w:val="00261183"/>
    <w:rsid w:val="002629F6"/>
    <w:rsid w:val="00262A66"/>
    <w:rsid w:val="00263140"/>
    <w:rsid w:val="002631C8"/>
    <w:rsid w:val="00265133"/>
    <w:rsid w:val="00265A23"/>
    <w:rsid w:val="00267841"/>
    <w:rsid w:val="00270984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A4A"/>
    <w:rsid w:val="002A7CFE"/>
    <w:rsid w:val="002B26DD"/>
    <w:rsid w:val="002B2870"/>
    <w:rsid w:val="002B380A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6240"/>
    <w:rsid w:val="002E21B8"/>
    <w:rsid w:val="002E7DF9"/>
    <w:rsid w:val="002F0749"/>
    <w:rsid w:val="002F097B"/>
    <w:rsid w:val="002F3111"/>
    <w:rsid w:val="002F4AEC"/>
    <w:rsid w:val="002F536F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DAE"/>
    <w:rsid w:val="003523BD"/>
    <w:rsid w:val="00352681"/>
    <w:rsid w:val="003536AA"/>
    <w:rsid w:val="003544CE"/>
    <w:rsid w:val="00355A98"/>
    <w:rsid w:val="00355D7E"/>
    <w:rsid w:val="00356474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16D2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6B36"/>
    <w:rsid w:val="0043190E"/>
    <w:rsid w:val="004319FA"/>
    <w:rsid w:val="004324E9"/>
    <w:rsid w:val="004350F3"/>
    <w:rsid w:val="00436980"/>
    <w:rsid w:val="00441016"/>
    <w:rsid w:val="00441F2F"/>
    <w:rsid w:val="0044228B"/>
    <w:rsid w:val="00442E2A"/>
    <w:rsid w:val="00443D67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0D0A"/>
    <w:rsid w:val="004B138F"/>
    <w:rsid w:val="004B412A"/>
    <w:rsid w:val="004B576C"/>
    <w:rsid w:val="004B772A"/>
    <w:rsid w:val="004C302F"/>
    <w:rsid w:val="004C4059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524"/>
    <w:rsid w:val="004E47F2"/>
    <w:rsid w:val="004E4E2B"/>
    <w:rsid w:val="004E5D4F"/>
    <w:rsid w:val="004E5DEA"/>
    <w:rsid w:val="004E6639"/>
    <w:rsid w:val="004E6BAE"/>
    <w:rsid w:val="004E77A2"/>
    <w:rsid w:val="004F32AD"/>
    <w:rsid w:val="004F57CB"/>
    <w:rsid w:val="004F64F6"/>
    <w:rsid w:val="004F69C0"/>
    <w:rsid w:val="00500121"/>
    <w:rsid w:val="005017AC"/>
    <w:rsid w:val="00501E8A"/>
    <w:rsid w:val="00502235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21BE"/>
    <w:rsid w:val="00543374"/>
    <w:rsid w:val="00545548"/>
    <w:rsid w:val="00546923"/>
    <w:rsid w:val="00551CA6"/>
    <w:rsid w:val="00555034"/>
    <w:rsid w:val="00556B16"/>
    <w:rsid w:val="005570D2"/>
    <w:rsid w:val="0056153F"/>
    <w:rsid w:val="00561B14"/>
    <w:rsid w:val="00562C87"/>
    <w:rsid w:val="005636BD"/>
    <w:rsid w:val="005666D5"/>
    <w:rsid w:val="005668ED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A79B4"/>
    <w:rsid w:val="005B031F"/>
    <w:rsid w:val="005B1F8B"/>
    <w:rsid w:val="005B3298"/>
    <w:rsid w:val="005B491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0EB"/>
    <w:rsid w:val="005D767D"/>
    <w:rsid w:val="005D7A30"/>
    <w:rsid w:val="005D7D3B"/>
    <w:rsid w:val="005E1999"/>
    <w:rsid w:val="005E232C"/>
    <w:rsid w:val="005E2AE9"/>
    <w:rsid w:val="005E2B83"/>
    <w:rsid w:val="005E4AEB"/>
    <w:rsid w:val="005E738F"/>
    <w:rsid w:val="005E788B"/>
    <w:rsid w:val="005F1519"/>
    <w:rsid w:val="005F4608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7A52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1A8E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20C"/>
    <w:rsid w:val="006C597E"/>
    <w:rsid w:val="006D3005"/>
    <w:rsid w:val="006D4080"/>
    <w:rsid w:val="006D504F"/>
    <w:rsid w:val="006E0CAC"/>
    <w:rsid w:val="006E1CFB"/>
    <w:rsid w:val="006E1F70"/>
    <w:rsid w:val="006E1F94"/>
    <w:rsid w:val="006E26C1"/>
    <w:rsid w:val="006E30A8"/>
    <w:rsid w:val="006E45B0"/>
    <w:rsid w:val="006E5692"/>
    <w:rsid w:val="006F365D"/>
    <w:rsid w:val="006F4BB0"/>
    <w:rsid w:val="006F51FB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688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CDE"/>
    <w:rsid w:val="00766E12"/>
    <w:rsid w:val="0077098E"/>
    <w:rsid w:val="00771287"/>
    <w:rsid w:val="0077149E"/>
    <w:rsid w:val="00772A2C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17B3"/>
    <w:rsid w:val="0080204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7B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4BEF"/>
    <w:rsid w:val="008D27A5"/>
    <w:rsid w:val="008D2AAB"/>
    <w:rsid w:val="008D2D3C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CC4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55C4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794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AC4"/>
    <w:rsid w:val="009C2E49"/>
    <w:rsid w:val="009C36CD"/>
    <w:rsid w:val="009C43A5"/>
    <w:rsid w:val="009C4A9E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160"/>
    <w:rsid w:val="00A0042D"/>
    <w:rsid w:val="00A0053A"/>
    <w:rsid w:val="00A00C33"/>
    <w:rsid w:val="00A01103"/>
    <w:rsid w:val="00A012C0"/>
    <w:rsid w:val="00A014BB"/>
    <w:rsid w:val="00A01E10"/>
    <w:rsid w:val="00A02B79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5A2E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579A7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2F1F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47CF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07653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26C2C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1791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70FF"/>
    <w:rsid w:val="00BD0A32"/>
    <w:rsid w:val="00BD2AF7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5CA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09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2E09"/>
    <w:rsid w:val="00C834CE"/>
    <w:rsid w:val="00C857F1"/>
    <w:rsid w:val="00C87BF6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CC6"/>
    <w:rsid w:val="00D060A8"/>
    <w:rsid w:val="00D06605"/>
    <w:rsid w:val="00D0720F"/>
    <w:rsid w:val="00D074E2"/>
    <w:rsid w:val="00D11B0B"/>
    <w:rsid w:val="00D12A3E"/>
    <w:rsid w:val="00D15425"/>
    <w:rsid w:val="00D22160"/>
    <w:rsid w:val="00D22172"/>
    <w:rsid w:val="00D2301B"/>
    <w:rsid w:val="00D239EE"/>
    <w:rsid w:val="00D30534"/>
    <w:rsid w:val="00D31283"/>
    <w:rsid w:val="00D33AD1"/>
    <w:rsid w:val="00D35728"/>
    <w:rsid w:val="00D37BCF"/>
    <w:rsid w:val="00D40F93"/>
    <w:rsid w:val="00D42277"/>
    <w:rsid w:val="00D43C59"/>
    <w:rsid w:val="00D44ADE"/>
    <w:rsid w:val="00D46206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571"/>
    <w:rsid w:val="00D63B53"/>
    <w:rsid w:val="00D64B88"/>
    <w:rsid w:val="00D64DC5"/>
    <w:rsid w:val="00D65536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1BF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1DF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E38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09ED"/>
    <w:rsid w:val="00EB22A5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050"/>
    <w:rsid w:val="00F11E04"/>
    <w:rsid w:val="00F1223C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A3B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27F"/>
    <w:rsid w:val="00F7758F"/>
    <w:rsid w:val="00F82811"/>
    <w:rsid w:val="00F84153"/>
    <w:rsid w:val="00F85661"/>
    <w:rsid w:val="00F90FAA"/>
    <w:rsid w:val="00F96602"/>
    <w:rsid w:val="00F9735A"/>
    <w:rsid w:val="00FA32FC"/>
    <w:rsid w:val="00FA59FD"/>
    <w:rsid w:val="00FA5D8C"/>
    <w:rsid w:val="00FA6403"/>
    <w:rsid w:val="00FB16CD"/>
    <w:rsid w:val="00FB2037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E2E0D9-A1E7-4D8B-9065-102EFF2C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50E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D5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50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5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50EB"/>
    <w:rPr>
      <w:b/>
      <w:bCs/>
    </w:rPr>
  </w:style>
  <w:style w:type="character" w:styleId="Hyperlink">
    <w:name w:val="Hyperlink"/>
    <w:basedOn w:val="DefaultParagraphFont"/>
    <w:uiPriority w:val="99"/>
    <w:unhideWhenUsed/>
    <w:rsid w:val="009C4A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1274</Words>
  <Characters>7180</Characters>
  <Application>Microsoft Office Word</Application>
  <DocSecurity>4</DocSecurity>
  <Lines>140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HB03363 (Committee Report (Substituted))</vt:lpstr>
    </vt:vector>
  </TitlesOfParts>
  <Company>State of Texas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25214</dc:subject>
  <dc:creator>State of Texas</dc:creator>
  <dc:description>HB 3363 by Harless-(H)Criminal Jurisprudence (Substitute Document Number: 87R 16778)</dc:description>
  <cp:lastModifiedBy>Stacey Nicchio</cp:lastModifiedBy>
  <cp:revision>2</cp:revision>
  <cp:lastPrinted>2003-11-26T17:21:00Z</cp:lastPrinted>
  <dcterms:created xsi:type="dcterms:W3CDTF">2021-05-06T16:25:00Z</dcterms:created>
  <dcterms:modified xsi:type="dcterms:W3CDTF">2021-05-06T16:25:00Z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21.125.1053</vt:lpwstr>
  </property>
</Properties>
</file>