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63E9" w14:paraId="32F70B5C" w14:textId="77777777" w:rsidTr="00345119">
        <w:tc>
          <w:tcPr>
            <w:tcW w:w="9576" w:type="dxa"/>
            <w:noWrap/>
          </w:tcPr>
          <w:p w14:paraId="3227911E" w14:textId="77777777" w:rsidR="008423E4" w:rsidRPr="0022177D" w:rsidRDefault="00652F14" w:rsidP="00CD4AB5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A7B8BA2" w14:textId="77777777" w:rsidR="008423E4" w:rsidRPr="0022177D" w:rsidRDefault="008423E4" w:rsidP="00CD4AB5">
      <w:pPr>
        <w:jc w:val="center"/>
      </w:pPr>
    </w:p>
    <w:p w14:paraId="00A89D13" w14:textId="77777777" w:rsidR="008423E4" w:rsidRPr="00B31F0E" w:rsidRDefault="008423E4" w:rsidP="00CD4AB5"/>
    <w:p w14:paraId="5F9E7F7F" w14:textId="77777777" w:rsidR="008423E4" w:rsidRPr="00742794" w:rsidRDefault="008423E4" w:rsidP="00CD4AB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63E9" w14:paraId="0DAEB66E" w14:textId="77777777" w:rsidTr="00345119">
        <w:tc>
          <w:tcPr>
            <w:tcW w:w="9576" w:type="dxa"/>
          </w:tcPr>
          <w:p w14:paraId="5E8E21AC" w14:textId="77777777" w:rsidR="008423E4" w:rsidRPr="00861995" w:rsidRDefault="00652F14" w:rsidP="00CD4AB5">
            <w:pPr>
              <w:jc w:val="right"/>
            </w:pPr>
            <w:r>
              <w:t>C.S.H.B. 3394</w:t>
            </w:r>
          </w:p>
        </w:tc>
      </w:tr>
      <w:tr w:rsidR="009263E9" w14:paraId="4C25EB6A" w14:textId="77777777" w:rsidTr="00345119">
        <w:tc>
          <w:tcPr>
            <w:tcW w:w="9576" w:type="dxa"/>
          </w:tcPr>
          <w:p w14:paraId="02993F81" w14:textId="77777777" w:rsidR="008423E4" w:rsidRPr="00861995" w:rsidRDefault="00652F14" w:rsidP="00CD4AB5">
            <w:pPr>
              <w:jc w:val="right"/>
            </w:pPr>
            <w:r>
              <w:t xml:space="preserve">By: </w:t>
            </w:r>
            <w:r w:rsidR="00A60003">
              <w:t>Metcalf</w:t>
            </w:r>
          </w:p>
        </w:tc>
      </w:tr>
      <w:tr w:rsidR="009263E9" w14:paraId="55891013" w14:textId="77777777" w:rsidTr="00345119">
        <w:tc>
          <w:tcPr>
            <w:tcW w:w="9576" w:type="dxa"/>
          </w:tcPr>
          <w:p w14:paraId="65C51A26" w14:textId="77777777" w:rsidR="008423E4" w:rsidRPr="00861995" w:rsidRDefault="00652F14" w:rsidP="00CD4AB5">
            <w:pPr>
              <w:jc w:val="right"/>
            </w:pPr>
            <w:r>
              <w:t>Judiciary &amp; Civil Jurisprudence</w:t>
            </w:r>
          </w:p>
        </w:tc>
      </w:tr>
      <w:tr w:rsidR="009263E9" w14:paraId="106B4588" w14:textId="77777777" w:rsidTr="00345119">
        <w:tc>
          <w:tcPr>
            <w:tcW w:w="9576" w:type="dxa"/>
          </w:tcPr>
          <w:p w14:paraId="063A94CE" w14:textId="77777777" w:rsidR="008423E4" w:rsidRDefault="00652F14" w:rsidP="00CD4AB5">
            <w:pPr>
              <w:jc w:val="right"/>
            </w:pPr>
            <w:r>
              <w:t>Committee Report (Substituted)</w:t>
            </w:r>
          </w:p>
        </w:tc>
      </w:tr>
    </w:tbl>
    <w:p w14:paraId="7E5729B3" w14:textId="77777777" w:rsidR="008423E4" w:rsidRDefault="008423E4" w:rsidP="00CD4AB5">
      <w:pPr>
        <w:tabs>
          <w:tab w:val="right" w:pos="9360"/>
        </w:tabs>
      </w:pPr>
    </w:p>
    <w:p w14:paraId="70E7BA2D" w14:textId="77777777" w:rsidR="008423E4" w:rsidRDefault="008423E4" w:rsidP="00CD4AB5"/>
    <w:p w14:paraId="04DE3DD2" w14:textId="77777777" w:rsidR="008423E4" w:rsidRDefault="008423E4" w:rsidP="00CD4AB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63E9" w14:paraId="01F0742C" w14:textId="77777777" w:rsidTr="00FF30D4">
        <w:tc>
          <w:tcPr>
            <w:tcW w:w="9360" w:type="dxa"/>
          </w:tcPr>
          <w:p w14:paraId="5CF6634D" w14:textId="77777777" w:rsidR="008423E4" w:rsidRPr="00A8133F" w:rsidRDefault="00652F14" w:rsidP="00CD4A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4C5BC8" w14:textId="77777777" w:rsidR="008423E4" w:rsidRDefault="008423E4" w:rsidP="00CD4AB5"/>
          <w:p w14:paraId="536A0D8D" w14:textId="680F4B4E" w:rsidR="008423E4" w:rsidRDefault="00652F14" w:rsidP="00CD4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Despite the duty of j</w:t>
            </w:r>
            <w:r w:rsidR="009F6ED2">
              <w:t>udges to remove guardians who are incapacitated</w:t>
            </w:r>
            <w:r>
              <w:t xml:space="preserve">, </w:t>
            </w:r>
            <w:r w:rsidR="009F6ED2">
              <w:t xml:space="preserve">there is currently no method </w:t>
            </w:r>
            <w:r>
              <w:t xml:space="preserve">in state law </w:t>
            </w:r>
            <w:r w:rsidR="009F6ED2">
              <w:t xml:space="preserve">to allow </w:t>
            </w:r>
            <w:r>
              <w:t xml:space="preserve">a </w:t>
            </w:r>
            <w:r w:rsidR="009F6ED2">
              <w:t xml:space="preserve">judge </w:t>
            </w:r>
            <w:r>
              <w:t xml:space="preserve">on his or her own motion </w:t>
            </w:r>
            <w:r w:rsidR="009F6ED2">
              <w:t xml:space="preserve">to determine </w:t>
            </w:r>
            <w:r>
              <w:t xml:space="preserve">whether </w:t>
            </w:r>
            <w:r w:rsidR="009F6ED2">
              <w:t xml:space="preserve">the guardian is incapacitated. </w:t>
            </w:r>
            <w:r>
              <w:t>C.S.</w:t>
            </w:r>
            <w:r w:rsidR="009F6ED2">
              <w:t>H</w:t>
            </w:r>
            <w:r>
              <w:t>.</w:t>
            </w:r>
            <w:r w:rsidR="009F6ED2">
              <w:t>B</w:t>
            </w:r>
            <w:r>
              <w:t>.</w:t>
            </w:r>
            <w:r w:rsidR="009F6ED2">
              <w:t xml:space="preserve"> 3394 allow</w:t>
            </w:r>
            <w:r>
              <w:t>s</w:t>
            </w:r>
            <w:r w:rsidR="009F6ED2">
              <w:t xml:space="preserve"> judges to </w:t>
            </w:r>
            <w:r>
              <w:t>appoint a</w:t>
            </w:r>
            <w:r w:rsidR="009F6ED2">
              <w:t xml:space="preserve"> court investigator or </w:t>
            </w:r>
            <w:r>
              <w:t xml:space="preserve">guardian </w:t>
            </w:r>
            <w:r w:rsidR="009F6ED2">
              <w:t>ad litem</w:t>
            </w:r>
            <w:r>
              <w:t xml:space="preserve"> to investigate</w:t>
            </w:r>
            <w:r w:rsidR="009F6ED2">
              <w:t xml:space="preserve"> whether probable cause exists to believe a guardian or proposed guardian </w:t>
            </w:r>
            <w:r>
              <w:t xml:space="preserve">is </w:t>
            </w:r>
            <w:r w:rsidR="009F6ED2">
              <w:t>incapacitated and to allow for</w:t>
            </w:r>
            <w:r w:rsidR="008E6185">
              <w:t xml:space="preserve"> a </w:t>
            </w:r>
            <w:r>
              <w:t>m</w:t>
            </w:r>
            <w:r w:rsidR="009F6ED2">
              <w:t xml:space="preserve">edical </w:t>
            </w:r>
            <w:r>
              <w:t>e</w:t>
            </w:r>
            <w:r w:rsidR="009F6ED2">
              <w:t xml:space="preserve">xam </w:t>
            </w:r>
            <w:r>
              <w:t>for such purposes.</w:t>
            </w:r>
          </w:p>
          <w:p w14:paraId="2696CAD7" w14:textId="77777777" w:rsidR="008423E4" w:rsidRPr="00E26B13" w:rsidRDefault="008423E4" w:rsidP="00CD4AB5">
            <w:pPr>
              <w:rPr>
                <w:b/>
              </w:rPr>
            </w:pPr>
          </w:p>
        </w:tc>
      </w:tr>
      <w:tr w:rsidR="009263E9" w14:paraId="0DA00C65" w14:textId="77777777" w:rsidTr="00FF30D4">
        <w:tc>
          <w:tcPr>
            <w:tcW w:w="9360" w:type="dxa"/>
          </w:tcPr>
          <w:p w14:paraId="00A57C34" w14:textId="77777777" w:rsidR="0017725B" w:rsidRDefault="00652F14" w:rsidP="00CD4A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9A7D8E" w14:textId="77777777" w:rsidR="0017725B" w:rsidRDefault="0017725B" w:rsidP="00CD4AB5">
            <w:pPr>
              <w:rPr>
                <w:b/>
                <w:u w:val="single"/>
              </w:rPr>
            </w:pPr>
          </w:p>
          <w:p w14:paraId="2CCF96EF" w14:textId="77777777" w:rsidR="00DC4D9A" w:rsidRPr="00DC4D9A" w:rsidRDefault="00652F14" w:rsidP="00CD4AB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32DE1A34" w14:textId="77777777" w:rsidR="0017725B" w:rsidRPr="0017725B" w:rsidRDefault="0017725B" w:rsidP="00CD4AB5">
            <w:pPr>
              <w:rPr>
                <w:b/>
                <w:u w:val="single"/>
              </w:rPr>
            </w:pPr>
          </w:p>
        </w:tc>
      </w:tr>
      <w:tr w:rsidR="009263E9" w14:paraId="723C4309" w14:textId="77777777" w:rsidTr="00FF30D4">
        <w:tc>
          <w:tcPr>
            <w:tcW w:w="9360" w:type="dxa"/>
          </w:tcPr>
          <w:p w14:paraId="50082774" w14:textId="77777777" w:rsidR="008423E4" w:rsidRPr="00A8133F" w:rsidRDefault="00652F14" w:rsidP="00CD4A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DE5FC9" w14:textId="77777777" w:rsidR="008423E4" w:rsidRDefault="008423E4" w:rsidP="00CD4AB5"/>
          <w:p w14:paraId="650D8945" w14:textId="77777777" w:rsidR="00DC4D9A" w:rsidRDefault="00652F14" w:rsidP="00CD4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53580172" w14:textId="77777777" w:rsidR="008423E4" w:rsidRPr="00E21FDC" w:rsidRDefault="008423E4" w:rsidP="00CD4AB5">
            <w:pPr>
              <w:rPr>
                <w:b/>
              </w:rPr>
            </w:pPr>
          </w:p>
        </w:tc>
      </w:tr>
      <w:tr w:rsidR="009263E9" w14:paraId="768673F7" w14:textId="77777777" w:rsidTr="00FF30D4">
        <w:tc>
          <w:tcPr>
            <w:tcW w:w="9360" w:type="dxa"/>
          </w:tcPr>
          <w:p w14:paraId="0CE49B32" w14:textId="77777777" w:rsidR="008423E4" w:rsidRPr="00A8133F" w:rsidRDefault="00652F14" w:rsidP="00CD4A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22886F" w14:textId="77777777" w:rsidR="008423E4" w:rsidRDefault="008423E4" w:rsidP="00CD4AB5"/>
          <w:p w14:paraId="7CD8D7CC" w14:textId="18FDC390" w:rsidR="009C36CD" w:rsidRPr="009C36CD" w:rsidRDefault="00652F14" w:rsidP="00CD4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3394 amends the Estates Code to authorize a court, </w:t>
            </w:r>
            <w:r w:rsidR="008156DA">
              <w:t xml:space="preserve">on the court's own motion or on complaint of an interested person, </w:t>
            </w:r>
            <w:r>
              <w:t xml:space="preserve">if there is probable cause to believe that a guardian is an </w:t>
            </w:r>
            <w:r>
              <w:t>incapacitated person, to appoint an at</w:t>
            </w:r>
            <w:r w:rsidR="00793FA0">
              <w:t>torney ad litem to represent a</w:t>
            </w:r>
            <w:r>
              <w:t xml:space="preserve"> ward's interests and a court investigator or guardian ad litem to investigate whether the guardian should be removed</w:t>
            </w:r>
            <w:r w:rsidR="00012D4D">
              <w:t xml:space="preserve">. </w:t>
            </w:r>
            <w:r w:rsidR="008156DA">
              <w:t>I</w:t>
            </w:r>
            <w:r w:rsidR="00012D4D">
              <w:t xml:space="preserve">f the court determines it is necessary, </w:t>
            </w:r>
            <w:r w:rsidR="008156DA">
              <w:t xml:space="preserve">the court may </w:t>
            </w:r>
            <w:r w:rsidR="00012D4D">
              <w:t>appoint the necessary physicians to examine the guardian to determine whether the guardian is an incapacitated person. The bill applies to a guardianship created before, on, or after the bill's effective date.</w:t>
            </w:r>
          </w:p>
          <w:p w14:paraId="25DBA645" w14:textId="77777777" w:rsidR="008423E4" w:rsidRPr="00835628" w:rsidRDefault="008423E4" w:rsidP="00CD4AB5">
            <w:pPr>
              <w:rPr>
                <w:b/>
              </w:rPr>
            </w:pPr>
          </w:p>
        </w:tc>
      </w:tr>
      <w:tr w:rsidR="009263E9" w14:paraId="3C6FA972" w14:textId="77777777" w:rsidTr="00FF30D4">
        <w:tc>
          <w:tcPr>
            <w:tcW w:w="9360" w:type="dxa"/>
          </w:tcPr>
          <w:p w14:paraId="1F1BAED6" w14:textId="77777777" w:rsidR="008423E4" w:rsidRPr="00A8133F" w:rsidRDefault="00652F14" w:rsidP="00CD4A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0F14FF" w14:textId="77777777" w:rsidR="008423E4" w:rsidRDefault="008423E4" w:rsidP="00CD4AB5"/>
          <w:p w14:paraId="51A53887" w14:textId="77777777" w:rsidR="008423E4" w:rsidRPr="003624F2" w:rsidRDefault="00652F14" w:rsidP="00CD4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A766E3B" w14:textId="77777777" w:rsidR="008423E4" w:rsidRPr="00233FDB" w:rsidRDefault="008423E4" w:rsidP="00CD4AB5">
            <w:pPr>
              <w:rPr>
                <w:b/>
              </w:rPr>
            </w:pPr>
          </w:p>
        </w:tc>
      </w:tr>
      <w:tr w:rsidR="009263E9" w14:paraId="1D7E1712" w14:textId="77777777" w:rsidTr="00FF30D4">
        <w:tc>
          <w:tcPr>
            <w:tcW w:w="9360" w:type="dxa"/>
          </w:tcPr>
          <w:p w14:paraId="22C4565A" w14:textId="77777777" w:rsidR="00A60003" w:rsidRDefault="00652F14" w:rsidP="00CD4AB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</w:t>
            </w:r>
            <w:r>
              <w:rPr>
                <w:b/>
                <w:u w:val="single"/>
              </w:rPr>
              <w:t>AL AND SUBSTITUTE</w:t>
            </w:r>
          </w:p>
          <w:p w14:paraId="61318FAA" w14:textId="77777777" w:rsidR="00012D4D" w:rsidRDefault="00012D4D" w:rsidP="00CD4AB5">
            <w:pPr>
              <w:jc w:val="both"/>
            </w:pPr>
          </w:p>
          <w:p w14:paraId="456145D9" w14:textId="0B0B664E" w:rsidR="00012D4D" w:rsidRDefault="00652F14" w:rsidP="00CD4AB5">
            <w:pPr>
              <w:jc w:val="both"/>
            </w:pPr>
            <w:r>
              <w:t>While C.S.H.B. 3394 may differ from the original in minor or nonsubstantive ways, the following summarizes the substantial differences between the introduced and committee substitute versions of the bill.</w:t>
            </w:r>
          </w:p>
          <w:p w14:paraId="1167354A" w14:textId="43AAAE46" w:rsidR="004A1A1F" w:rsidRDefault="004A1A1F" w:rsidP="00CD4AB5">
            <w:pPr>
              <w:jc w:val="both"/>
            </w:pPr>
          </w:p>
          <w:p w14:paraId="72CDDDCA" w14:textId="5A4439E9" w:rsidR="005265AA" w:rsidRDefault="00652F14" w:rsidP="00CD4AB5">
            <w:pPr>
              <w:jc w:val="both"/>
            </w:pPr>
            <w:r>
              <w:t>While the substitute retains th</w:t>
            </w:r>
            <w:r>
              <w:t xml:space="preserve">e authorization from the original for a court to order an investigation on its own motion or a complaint of an interested person </w:t>
            </w:r>
            <w:r w:rsidR="00CF69EE">
              <w:t xml:space="preserve">into </w:t>
            </w:r>
            <w:r>
              <w:t>whether a guardian is an incapacitated person, the</w:t>
            </w:r>
            <w:r w:rsidR="004A1A1F">
              <w:t xml:space="preserve"> substitute does not include </w:t>
            </w:r>
            <w:r w:rsidR="00B04010">
              <w:t xml:space="preserve">the following </w:t>
            </w:r>
            <w:r w:rsidR="004A1A1F">
              <w:t>provisions that appeared in the original</w:t>
            </w:r>
            <w:r>
              <w:t>:</w:t>
            </w:r>
            <w:r w:rsidR="004A1A1F">
              <w:t xml:space="preserve"> </w:t>
            </w:r>
          </w:p>
          <w:p w14:paraId="2871005B" w14:textId="2AA35A44" w:rsidR="009D0CC0" w:rsidRDefault="00652F14" w:rsidP="00CD4AB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authorization to order an investigation regarding a proposed guardian;</w:t>
            </w:r>
          </w:p>
          <w:p w14:paraId="562DFFE2" w14:textId="41BCA8CE" w:rsidR="005265AA" w:rsidRDefault="00652F14" w:rsidP="00CD4AB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requirement for the complaint of the interested person</w:t>
            </w:r>
            <w:r w:rsidR="005659A2">
              <w:t xml:space="preserve"> to</w:t>
            </w:r>
            <w:r>
              <w:t xml:space="preserve"> be in the form of a written application with certain contents;</w:t>
            </w:r>
          </w:p>
          <w:p w14:paraId="74AF287A" w14:textId="036A09CC" w:rsidR="005265AA" w:rsidRDefault="00652F14" w:rsidP="00CD4AB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</w:t>
            </w:r>
            <w:r w:rsidR="009D0CC0">
              <w:t xml:space="preserve"> requirement for the court's order appointing the guardian ad litem or court investigator to include a statement that the guardian has the right to petition the court to have the appointment set aside; </w:t>
            </w:r>
          </w:p>
          <w:p w14:paraId="68DFEA54" w14:textId="1C4B7A49" w:rsidR="00FD5527" w:rsidRDefault="00652F14" w:rsidP="00CD4AB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requirement that the guardian ad litem or court investigator file a report containing findings with the court;</w:t>
            </w:r>
          </w:p>
          <w:p w14:paraId="67409FFF" w14:textId="1E55D19F" w:rsidR="009D0CC0" w:rsidRDefault="00652F14" w:rsidP="00CD4AB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condition on the appointment of a physician that the guardian ad litem or court investigator first file an application recommending the a</w:t>
            </w:r>
            <w:r>
              <w:t xml:space="preserve">ppointment as </w:t>
            </w:r>
            <w:r w:rsidR="00FD5527">
              <w:t>necessary and that the court hold a hearing and give notice to the guardian</w:t>
            </w:r>
            <w:r>
              <w:t>;</w:t>
            </w:r>
          </w:p>
          <w:p w14:paraId="10EECE43" w14:textId="1453809B" w:rsidR="00236492" w:rsidRDefault="00652F14" w:rsidP="00CD4AB5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requirement for the physician to return a written letter or certificate of the physician's findings;</w:t>
            </w:r>
            <w:r w:rsidR="00CF69EE">
              <w:t xml:space="preserve"> and</w:t>
            </w:r>
          </w:p>
          <w:p w14:paraId="6B5B028F" w14:textId="26B357EF" w:rsidR="00012D4D" w:rsidRPr="00012D4D" w:rsidRDefault="00652F14" w:rsidP="00CD4AB5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the </w:t>
            </w:r>
            <w:r w:rsidR="00236492">
              <w:t>authoriz</w:t>
            </w:r>
            <w:r>
              <w:t xml:space="preserve">ation for </w:t>
            </w:r>
            <w:r w:rsidR="00236492">
              <w:t xml:space="preserve">the court to order </w:t>
            </w:r>
            <w:r>
              <w:t xml:space="preserve">the payment of </w:t>
            </w:r>
            <w:r>
              <w:t xml:space="preserve">related </w:t>
            </w:r>
            <w:r w:rsidR="00236492">
              <w:t>costs</w:t>
            </w:r>
            <w:r w:rsidR="0039529B">
              <w:t>.</w:t>
            </w:r>
          </w:p>
        </w:tc>
      </w:tr>
    </w:tbl>
    <w:p w14:paraId="0DB305D0" w14:textId="77777777" w:rsidR="008423E4" w:rsidRPr="00BE0E75" w:rsidRDefault="008423E4" w:rsidP="00CD4AB5">
      <w:pPr>
        <w:jc w:val="both"/>
        <w:rPr>
          <w:rFonts w:ascii="Arial" w:hAnsi="Arial"/>
          <w:sz w:val="16"/>
          <w:szCs w:val="16"/>
        </w:rPr>
      </w:pPr>
    </w:p>
    <w:p w14:paraId="27F2C3BF" w14:textId="77777777" w:rsidR="004108C3" w:rsidRPr="008423E4" w:rsidRDefault="004108C3" w:rsidP="00CD4AB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BB7E" w14:textId="77777777" w:rsidR="00000000" w:rsidRDefault="00652F14">
      <w:r>
        <w:separator/>
      </w:r>
    </w:p>
  </w:endnote>
  <w:endnote w:type="continuationSeparator" w:id="0">
    <w:p w14:paraId="64BDD6E5" w14:textId="77777777" w:rsidR="00000000" w:rsidRDefault="0065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62D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63E9" w14:paraId="70D4A39B" w14:textId="77777777" w:rsidTr="009C1E9A">
      <w:trPr>
        <w:cantSplit/>
      </w:trPr>
      <w:tc>
        <w:tcPr>
          <w:tcW w:w="0" w:type="pct"/>
        </w:tcPr>
        <w:p w14:paraId="5CC418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E7B9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BC7F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7C40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C586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63E9" w14:paraId="4552EA6E" w14:textId="77777777" w:rsidTr="009C1E9A">
      <w:trPr>
        <w:cantSplit/>
      </w:trPr>
      <w:tc>
        <w:tcPr>
          <w:tcW w:w="0" w:type="pct"/>
        </w:tcPr>
        <w:p w14:paraId="289555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0EAFEF" w14:textId="77777777" w:rsidR="00EC379B" w:rsidRPr="009C1E9A" w:rsidRDefault="00652F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21282</w:t>
          </w:r>
        </w:p>
      </w:tc>
      <w:tc>
        <w:tcPr>
          <w:tcW w:w="2453" w:type="pct"/>
        </w:tcPr>
        <w:p w14:paraId="42800BD6" w14:textId="6770C40F" w:rsidR="00EC379B" w:rsidRDefault="00652F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679C">
            <w:t>21.112.459</w:t>
          </w:r>
          <w:r>
            <w:fldChar w:fldCharType="end"/>
          </w:r>
        </w:p>
      </w:tc>
    </w:tr>
    <w:tr w:rsidR="009263E9" w14:paraId="24DE0723" w14:textId="77777777" w:rsidTr="009C1E9A">
      <w:trPr>
        <w:cantSplit/>
      </w:trPr>
      <w:tc>
        <w:tcPr>
          <w:tcW w:w="0" w:type="pct"/>
        </w:tcPr>
        <w:p w14:paraId="18F8681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BCE916" w14:textId="77777777" w:rsidR="00EC379B" w:rsidRPr="009C1E9A" w:rsidRDefault="00652F1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18041</w:t>
          </w:r>
        </w:p>
      </w:tc>
      <w:tc>
        <w:tcPr>
          <w:tcW w:w="2453" w:type="pct"/>
        </w:tcPr>
        <w:p w14:paraId="464698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4616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63E9" w14:paraId="653138A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C4807C" w14:textId="50D5AC28" w:rsidR="00EC379B" w:rsidRDefault="00652F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B51A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1820C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587E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CFD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06FE3" w14:textId="77777777" w:rsidR="00000000" w:rsidRDefault="00652F14">
      <w:r>
        <w:separator/>
      </w:r>
    </w:p>
  </w:footnote>
  <w:footnote w:type="continuationSeparator" w:id="0">
    <w:p w14:paraId="6E5ACE87" w14:textId="77777777" w:rsidR="00000000" w:rsidRDefault="0065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E6B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66B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F7A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35B0"/>
    <w:multiLevelType w:val="hybridMultilevel"/>
    <w:tmpl w:val="D6004D04"/>
    <w:lvl w:ilvl="0" w:tplc="ABCAF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68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C9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2E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89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CC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7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04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A4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45C9"/>
    <w:multiLevelType w:val="hybridMultilevel"/>
    <w:tmpl w:val="0B30A450"/>
    <w:lvl w:ilvl="0" w:tplc="739E0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0D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46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08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7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E4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A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21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06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03"/>
    <w:rsid w:val="00000A70"/>
    <w:rsid w:val="000032B8"/>
    <w:rsid w:val="00003B06"/>
    <w:rsid w:val="000054B9"/>
    <w:rsid w:val="00007461"/>
    <w:rsid w:val="0001117E"/>
    <w:rsid w:val="0001125F"/>
    <w:rsid w:val="00012D4D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79C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6492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29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A1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5AA"/>
    <w:rsid w:val="005269CE"/>
    <w:rsid w:val="005304B2"/>
    <w:rsid w:val="005336BD"/>
    <w:rsid w:val="00534A49"/>
    <w:rsid w:val="00535CDB"/>
    <w:rsid w:val="005363BB"/>
    <w:rsid w:val="00541B98"/>
    <w:rsid w:val="0054301B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59A2"/>
    <w:rsid w:val="005666D5"/>
    <w:rsid w:val="005669A7"/>
    <w:rsid w:val="005725F6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3A6"/>
    <w:rsid w:val="005A6D13"/>
    <w:rsid w:val="005B031F"/>
    <w:rsid w:val="005B3298"/>
    <w:rsid w:val="005B51AA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F1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4DA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5E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FA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6D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18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3E9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6A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CC0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6ED2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003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010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6B2A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3E0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AB5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9EE"/>
    <w:rsid w:val="00CF71E0"/>
    <w:rsid w:val="00D00187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643"/>
    <w:rsid w:val="00DA564B"/>
    <w:rsid w:val="00DA6A5C"/>
    <w:rsid w:val="00DB311F"/>
    <w:rsid w:val="00DB415D"/>
    <w:rsid w:val="00DB53C6"/>
    <w:rsid w:val="00DB59E3"/>
    <w:rsid w:val="00DB6CB6"/>
    <w:rsid w:val="00DB758F"/>
    <w:rsid w:val="00DC1F1B"/>
    <w:rsid w:val="00DC3D8F"/>
    <w:rsid w:val="00DC42E8"/>
    <w:rsid w:val="00DC4D9A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52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0D4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390B0B-09A2-4E33-BC21-79FC635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4D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4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4D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4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4D9A"/>
    <w:rPr>
      <w:b/>
      <w:bCs/>
    </w:rPr>
  </w:style>
  <w:style w:type="paragraph" w:styleId="Revision">
    <w:name w:val="Revision"/>
    <w:hidden/>
    <w:uiPriority w:val="99"/>
    <w:semiHidden/>
    <w:rsid w:val="00DC4D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2709</Characters>
  <Application>Microsoft Office Word</Application>
  <DocSecurity>4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HB03394 (Committee Report (Substituted))</vt:lpstr>
    </vt:vector>
  </TitlesOfParts>
  <Company>State of Texas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21282</dc:subject>
  <dc:creator>State of Texas</dc:creator>
  <dc:description>HB 3394 by Metcalf-(H)Judiciary &amp; Civil Jurisprudence (Substitute Document Number: 87R 18041)</dc:description>
  <cp:lastModifiedBy>Emma Bodisch</cp:lastModifiedBy>
  <cp:revision>2</cp:revision>
  <cp:lastPrinted>2003-11-26T17:21:00Z</cp:lastPrinted>
  <dcterms:created xsi:type="dcterms:W3CDTF">2021-04-23T00:23:00Z</dcterms:created>
  <dcterms:modified xsi:type="dcterms:W3CDTF">2021-04-23T00:23:00Z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21.112.459</vt:lpwstr>
  </property>
</Properties>
</file>