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746D8" w14:paraId="170A2A83" w14:textId="77777777" w:rsidTr="00345119">
        <w:tc>
          <w:tcPr>
            <w:tcW w:w="9576" w:type="dxa"/>
            <w:noWrap/>
          </w:tcPr>
          <w:p w14:paraId="5697C269" w14:textId="77777777" w:rsidR="008423E4" w:rsidRPr="0022177D" w:rsidRDefault="00822F6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C0D9A6F" w14:textId="77777777" w:rsidR="008423E4" w:rsidRPr="0022177D" w:rsidRDefault="008423E4" w:rsidP="008423E4">
      <w:pPr>
        <w:jc w:val="center"/>
      </w:pPr>
    </w:p>
    <w:p w14:paraId="30EA9307" w14:textId="77777777" w:rsidR="008423E4" w:rsidRPr="00B31F0E" w:rsidRDefault="008423E4" w:rsidP="008423E4"/>
    <w:p w14:paraId="32175361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46D8" w14:paraId="7A60C012" w14:textId="77777777" w:rsidTr="00345119">
        <w:tc>
          <w:tcPr>
            <w:tcW w:w="9576" w:type="dxa"/>
          </w:tcPr>
          <w:p w14:paraId="43E66FED" w14:textId="6553FAB4" w:rsidR="008423E4" w:rsidRPr="00861995" w:rsidRDefault="00822F6E" w:rsidP="00345119">
            <w:pPr>
              <w:jc w:val="right"/>
            </w:pPr>
            <w:r>
              <w:t>C.S.H.B. 3417</w:t>
            </w:r>
          </w:p>
        </w:tc>
      </w:tr>
      <w:tr w:rsidR="002746D8" w14:paraId="0500373B" w14:textId="77777777" w:rsidTr="00345119">
        <w:tc>
          <w:tcPr>
            <w:tcW w:w="9576" w:type="dxa"/>
          </w:tcPr>
          <w:p w14:paraId="6CB55EBC" w14:textId="4997BA38" w:rsidR="008423E4" w:rsidRPr="00861995" w:rsidRDefault="00822F6E" w:rsidP="00F97C67">
            <w:pPr>
              <w:jc w:val="right"/>
            </w:pPr>
            <w:r>
              <w:t xml:space="preserve">By: </w:t>
            </w:r>
            <w:r w:rsidR="00F97C67">
              <w:t>Fierro</w:t>
            </w:r>
          </w:p>
        </w:tc>
      </w:tr>
      <w:tr w:rsidR="002746D8" w14:paraId="4162230B" w14:textId="77777777" w:rsidTr="00345119">
        <w:tc>
          <w:tcPr>
            <w:tcW w:w="9576" w:type="dxa"/>
          </w:tcPr>
          <w:p w14:paraId="74537952" w14:textId="315F7142" w:rsidR="008423E4" w:rsidRPr="00861995" w:rsidRDefault="00822F6E" w:rsidP="00345119">
            <w:pPr>
              <w:jc w:val="right"/>
            </w:pPr>
            <w:r>
              <w:t>Urban Affairs</w:t>
            </w:r>
          </w:p>
        </w:tc>
      </w:tr>
      <w:tr w:rsidR="002746D8" w14:paraId="7D68FED3" w14:textId="77777777" w:rsidTr="00345119">
        <w:tc>
          <w:tcPr>
            <w:tcW w:w="9576" w:type="dxa"/>
          </w:tcPr>
          <w:p w14:paraId="6CE73855" w14:textId="2A1DBC56" w:rsidR="008423E4" w:rsidRDefault="00822F6E" w:rsidP="00345119">
            <w:pPr>
              <w:jc w:val="right"/>
            </w:pPr>
            <w:r>
              <w:t>Committee Report (Substituted)</w:t>
            </w:r>
          </w:p>
        </w:tc>
      </w:tr>
    </w:tbl>
    <w:p w14:paraId="4004DEDC" w14:textId="77777777" w:rsidR="008423E4" w:rsidRDefault="008423E4" w:rsidP="008423E4">
      <w:pPr>
        <w:tabs>
          <w:tab w:val="right" w:pos="9360"/>
        </w:tabs>
      </w:pPr>
    </w:p>
    <w:p w14:paraId="15E681A8" w14:textId="77777777" w:rsidR="008423E4" w:rsidRDefault="008423E4" w:rsidP="008423E4"/>
    <w:p w14:paraId="4708B471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746D8" w14:paraId="23A53EAE" w14:textId="77777777" w:rsidTr="00345119">
        <w:tc>
          <w:tcPr>
            <w:tcW w:w="9576" w:type="dxa"/>
          </w:tcPr>
          <w:p w14:paraId="33FF258C" w14:textId="77777777" w:rsidR="008423E4" w:rsidRPr="00A8133F" w:rsidRDefault="00822F6E" w:rsidP="00300F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E50452C" w14:textId="77777777" w:rsidR="008423E4" w:rsidRDefault="008423E4" w:rsidP="00300F3F"/>
          <w:p w14:paraId="487A969B" w14:textId="096122B4" w:rsidR="008423E4" w:rsidRDefault="00822F6E" w:rsidP="00300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for increased</w:t>
            </w:r>
            <w:r w:rsidR="004A4263" w:rsidRPr="004A4263">
              <w:t xml:space="preserve"> licensing flexibility </w:t>
            </w:r>
            <w:r>
              <w:t xml:space="preserve">under the Texas Manufactured Housing Standards Act, particularly </w:t>
            </w:r>
            <w:r w:rsidR="004A4263" w:rsidRPr="004A4263">
              <w:t xml:space="preserve">during the time of a prolonged disaster or pandemic. </w:t>
            </w:r>
            <w:r w:rsidR="0026005B">
              <w:t>A</w:t>
            </w:r>
            <w:r w:rsidR="004A4263" w:rsidRPr="004A4263">
              <w:t>ddition</w:t>
            </w:r>
            <w:r w:rsidR="0026005B">
              <w:t>ally</w:t>
            </w:r>
            <w:r w:rsidR="004A4263" w:rsidRPr="004A4263">
              <w:t xml:space="preserve">, </w:t>
            </w:r>
            <w:r w:rsidR="0026005B">
              <w:t>it has been noted that the act lacks clarity in places and is out of line with updated</w:t>
            </w:r>
            <w:r w:rsidR="004A4263" w:rsidRPr="004A4263">
              <w:t xml:space="preserve"> federal regulation</w:t>
            </w:r>
            <w:r w:rsidR="0026005B">
              <w:t xml:space="preserve"> in others</w:t>
            </w:r>
            <w:r w:rsidR="004A4263" w:rsidRPr="004A4263">
              <w:t xml:space="preserve">. </w:t>
            </w:r>
            <w:r w:rsidR="004A4263">
              <w:t>C</w:t>
            </w:r>
            <w:r w:rsidR="0026005B">
              <w:t>.</w:t>
            </w:r>
            <w:r w:rsidR="004A4263" w:rsidRPr="004A4263">
              <w:t>S</w:t>
            </w:r>
            <w:r w:rsidR="0026005B">
              <w:t>.</w:t>
            </w:r>
            <w:r w:rsidR="004A4263" w:rsidRPr="004A4263">
              <w:t>H</w:t>
            </w:r>
            <w:r w:rsidR="0026005B">
              <w:t>.</w:t>
            </w:r>
            <w:r w:rsidR="004A4263" w:rsidRPr="004A4263">
              <w:t>B</w:t>
            </w:r>
            <w:r w:rsidR="0026005B">
              <w:t>.</w:t>
            </w:r>
            <w:r w:rsidR="004A4263" w:rsidRPr="004A4263">
              <w:t xml:space="preserve"> 3417 seeks to </w:t>
            </w:r>
            <w:r w:rsidR="0026005B">
              <w:t xml:space="preserve">revise and update the act to </w:t>
            </w:r>
            <w:r w:rsidR="004A4263" w:rsidRPr="004A4263">
              <w:t>address these issues</w:t>
            </w:r>
            <w:r w:rsidR="0026005B">
              <w:t>.</w:t>
            </w:r>
          </w:p>
          <w:p w14:paraId="21F0882F" w14:textId="77777777" w:rsidR="008423E4" w:rsidRPr="00E26B13" w:rsidRDefault="008423E4" w:rsidP="00300F3F">
            <w:pPr>
              <w:rPr>
                <w:b/>
              </w:rPr>
            </w:pPr>
          </w:p>
        </w:tc>
      </w:tr>
      <w:tr w:rsidR="002746D8" w14:paraId="370C1928" w14:textId="77777777" w:rsidTr="00345119">
        <w:tc>
          <w:tcPr>
            <w:tcW w:w="9576" w:type="dxa"/>
          </w:tcPr>
          <w:p w14:paraId="15625741" w14:textId="77777777" w:rsidR="0017725B" w:rsidRDefault="00822F6E" w:rsidP="00300F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8BA1B5F" w14:textId="77777777" w:rsidR="0017725B" w:rsidRDefault="0017725B" w:rsidP="00300F3F">
            <w:pPr>
              <w:rPr>
                <w:b/>
                <w:u w:val="single"/>
              </w:rPr>
            </w:pPr>
          </w:p>
          <w:p w14:paraId="67193EC4" w14:textId="4E3AE22C" w:rsidR="00A55E19" w:rsidRPr="00A55E19" w:rsidRDefault="00822F6E" w:rsidP="00300F3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</w:t>
            </w:r>
            <w:r>
              <w:t>pervision, parole, or mandatory supervision.</w:t>
            </w:r>
          </w:p>
          <w:p w14:paraId="531A67C7" w14:textId="77777777" w:rsidR="0017725B" w:rsidRPr="0017725B" w:rsidRDefault="0017725B" w:rsidP="00300F3F">
            <w:pPr>
              <w:rPr>
                <w:b/>
                <w:u w:val="single"/>
              </w:rPr>
            </w:pPr>
          </w:p>
        </w:tc>
      </w:tr>
      <w:tr w:rsidR="002746D8" w14:paraId="326F65F5" w14:textId="77777777" w:rsidTr="00345119">
        <w:tc>
          <w:tcPr>
            <w:tcW w:w="9576" w:type="dxa"/>
          </w:tcPr>
          <w:p w14:paraId="662DE188" w14:textId="77777777" w:rsidR="008423E4" w:rsidRPr="00A8133F" w:rsidRDefault="00822F6E" w:rsidP="00300F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931FB9F" w14:textId="77777777" w:rsidR="008423E4" w:rsidRDefault="008423E4" w:rsidP="00300F3F"/>
          <w:p w14:paraId="57E7D30C" w14:textId="16622095" w:rsidR="00A55E19" w:rsidRDefault="00822F6E" w:rsidP="00300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6B8966B" w14:textId="77777777" w:rsidR="008423E4" w:rsidRPr="00E21FDC" w:rsidRDefault="008423E4" w:rsidP="00300F3F">
            <w:pPr>
              <w:rPr>
                <w:b/>
              </w:rPr>
            </w:pPr>
          </w:p>
        </w:tc>
      </w:tr>
      <w:tr w:rsidR="002746D8" w14:paraId="05B3E4F9" w14:textId="77777777" w:rsidTr="00345119">
        <w:tc>
          <w:tcPr>
            <w:tcW w:w="9576" w:type="dxa"/>
          </w:tcPr>
          <w:p w14:paraId="76A72EBC" w14:textId="77777777" w:rsidR="008423E4" w:rsidRPr="00A8133F" w:rsidRDefault="00822F6E" w:rsidP="00300F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6B8CE1F" w14:textId="77777777" w:rsidR="008423E4" w:rsidRDefault="008423E4" w:rsidP="00300F3F"/>
          <w:p w14:paraId="33E93A42" w14:textId="478FCA5B" w:rsidR="006C0DEE" w:rsidRDefault="00822F6E" w:rsidP="00300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86091">
              <w:t xml:space="preserve">H.B. 3417 amends the </w:t>
            </w:r>
            <w:r w:rsidR="00286091" w:rsidRPr="00286091">
              <w:t>Occupations Code</w:t>
            </w:r>
            <w:r w:rsidR="00286091">
              <w:t xml:space="preserve"> to </w:t>
            </w:r>
            <w:r w:rsidR="00D81FCC">
              <w:t>waive the education requirements for a license under the Texas Manufactured Housing Standards Act during a</w:t>
            </w:r>
            <w:r w:rsidR="00F157E6">
              <w:t>n emergency declared by the governor or a federal agency.</w:t>
            </w:r>
            <w:r w:rsidR="00D81FCC">
              <w:t xml:space="preserve"> </w:t>
            </w:r>
            <w:r w:rsidR="00F157E6">
              <w:t>The</w:t>
            </w:r>
            <w:r w:rsidR="00D81FCC">
              <w:t xml:space="preserve"> bill </w:t>
            </w:r>
            <w:r>
              <w:t>authorize</w:t>
            </w:r>
            <w:r w:rsidR="00D81FCC">
              <w:t>s</w:t>
            </w:r>
            <w:r>
              <w:t xml:space="preserve"> </w:t>
            </w:r>
            <w:r w:rsidR="00286091" w:rsidRPr="00286091">
              <w:t>the executive director of the manufactured housing division of the Texas Department of Housing and Community Affairs</w:t>
            </w:r>
            <w:r w:rsidR="00286091">
              <w:t xml:space="preserve"> (</w:t>
            </w:r>
            <w:r w:rsidR="00286091" w:rsidRPr="00286091">
              <w:t>TDHCA)</w:t>
            </w:r>
            <w:r>
              <w:t xml:space="preserve"> to take the following actions</w:t>
            </w:r>
            <w:r w:rsidR="00286091">
              <w:t xml:space="preserve"> during a declared emergency that exceeds a period of 14 days</w:t>
            </w:r>
            <w:r>
              <w:t>:</w:t>
            </w:r>
          </w:p>
          <w:p w14:paraId="2AB98550" w14:textId="6DF2EE7F" w:rsidR="006C0DEE" w:rsidRDefault="00822F6E" w:rsidP="00300F3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waive licensing requirements </w:t>
            </w:r>
            <w:r w:rsidR="004A4263">
              <w:t xml:space="preserve">under the act </w:t>
            </w:r>
            <w:r>
              <w:t>to ensure the continued and</w:t>
            </w:r>
            <w:r>
              <w:t xml:space="preserve"> adequate supply of professionals to build, sell, transport, insure, finance, and install manufactured homes; and</w:t>
            </w:r>
          </w:p>
          <w:p w14:paraId="51A41250" w14:textId="1BB47C8B" w:rsidR="006C0DEE" w:rsidRDefault="00822F6E" w:rsidP="00300F3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 a person to register with the </w:t>
            </w:r>
            <w:r w:rsidRPr="00286091">
              <w:t>TDHCA</w:t>
            </w:r>
            <w:r>
              <w:t xml:space="preserve"> before engaging in any activity regulated under </w:t>
            </w:r>
            <w:r w:rsidRPr="00286091">
              <w:t xml:space="preserve">the </w:t>
            </w:r>
            <w:r w:rsidR="009629A1">
              <w:t>a</w:t>
            </w:r>
            <w:r w:rsidRPr="00286091">
              <w:t>ct</w:t>
            </w:r>
            <w:r>
              <w:t xml:space="preserve">. </w:t>
            </w:r>
          </w:p>
          <w:p w14:paraId="7AC83D6C" w14:textId="7FD6D513" w:rsidR="001079BD" w:rsidRDefault="00822F6E" w:rsidP="00300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F</w:t>
            </w:r>
            <w:r w:rsidR="00286091">
              <w:t xml:space="preserve">ollowing the cessation of </w:t>
            </w:r>
            <w:r w:rsidR="009629A1">
              <w:t>the</w:t>
            </w:r>
            <w:r w:rsidR="00286091">
              <w:t xml:space="preserve"> declared emergency, </w:t>
            </w:r>
            <w:r>
              <w:t>the executive director may</w:t>
            </w:r>
            <w:r w:rsidR="00286091">
              <w:t xml:space="preserve"> require a person</w:t>
            </w:r>
            <w:r>
              <w:t xml:space="preserve"> </w:t>
            </w:r>
            <w:r w:rsidR="00F157E6">
              <w:t xml:space="preserve">so </w:t>
            </w:r>
            <w:r w:rsidR="00286091">
              <w:t xml:space="preserve">registered with the </w:t>
            </w:r>
            <w:r w:rsidRPr="001079BD">
              <w:t>TDHCA</w:t>
            </w:r>
            <w:r w:rsidR="00286091">
              <w:t xml:space="preserve"> to comply with the criminal history background check requirements and other licensing requirements of </w:t>
            </w:r>
            <w:r>
              <w:t>the act</w:t>
            </w:r>
            <w:r w:rsidR="00286091">
              <w:t>.</w:t>
            </w:r>
            <w:r>
              <w:t xml:space="preserve"> The bill establishes that a</w:t>
            </w:r>
            <w:r w:rsidR="00286091">
              <w:t xml:space="preserve">ll actions regulated by </w:t>
            </w:r>
            <w:r>
              <w:t>the act</w:t>
            </w:r>
            <w:r w:rsidR="00286091">
              <w:t xml:space="preserve"> and actions needed to construct, transport, install, sell, finance, rent, and insure manufactured homes are essential services that must be allowed to continue to operate at a statewide level during a declared emergency.</w:t>
            </w:r>
            <w:r>
              <w:t xml:space="preserve"> </w:t>
            </w:r>
          </w:p>
          <w:p w14:paraId="6EE940FB" w14:textId="77777777" w:rsidR="00857438" w:rsidRDefault="00857438" w:rsidP="00300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56EDAFE" w14:textId="2EA56511" w:rsidR="00857438" w:rsidRPr="00C71903" w:rsidRDefault="00822F6E" w:rsidP="00300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3417 exempts a person from</w:t>
            </w:r>
            <w:r>
              <w:t xml:space="preserve"> </w:t>
            </w:r>
            <w:r w:rsidR="000E3542">
              <w:t xml:space="preserve">the requirement to </w:t>
            </w:r>
            <w:r>
              <w:t xml:space="preserve">hold a retailer's license </w:t>
            </w:r>
            <w:r w:rsidR="000E3542">
              <w:t>to</w:t>
            </w:r>
            <w:r>
              <w:t xml:space="preserve"> </w:t>
            </w:r>
            <w:r w:rsidR="006260F9" w:rsidRPr="006260F9">
              <w:t>sell</w:t>
            </w:r>
            <w:r w:rsidR="000E3542">
              <w:t xml:space="preserve"> </w:t>
            </w:r>
            <w:r w:rsidR="006260F9" w:rsidRPr="006260F9">
              <w:t>or exchang</w:t>
            </w:r>
            <w:r w:rsidR="000E3542">
              <w:t>e</w:t>
            </w:r>
            <w:r w:rsidR="006260F9">
              <w:t xml:space="preserve"> </w:t>
            </w:r>
            <w:r w:rsidR="006260F9" w:rsidRPr="006260F9">
              <w:t>manufactured homes to consumers</w:t>
            </w:r>
            <w:r w:rsidR="006260F9">
              <w:t xml:space="preserve"> </w:t>
            </w:r>
            <w:r>
              <w:t xml:space="preserve">if all manufactured homes sold or offered for sale by the </w:t>
            </w:r>
            <w:r w:rsidRPr="00C71903">
              <w:t>person are</w:t>
            </w:r>
            <w:r w:rsidR="006260F9" w:rsidRPr="00C71903">
              <w:t xml:space="preserve"> as follows</w:t>
            </w:r>
            <w:r w:rsidRPr="00C71903">
              <w:t>:</w:t>
            </w:r>
          </w:p>
          <w:p w14:paraId="08D3F4DB" w14:textId="1A2305E5" w:rsidR="00857438" w:rsidRPr="00C71903" w:rsidRDefault="00822F6E" w:rsidP="00300F3F">
            <w:pPr>
              <w:pStyle w:val="Header"/>
              <w:numPr>
                <w:ilvl w:val="0"/>
                <w:numId w:val="1"/>
              </w:numPr>
              <w:jc w:val="both"/>
            </w:pPr>
            <w:r w:rsidRPr="00C71903">
              <w:t>located in a manufactured home community</w:t>
            </w:r>
            <w:r w:rsidR="00315124" w:rsidRPr="00C71903">
              <w:t>, as defined by the Property Code</w:t>
            </w:r>
            <w:r w:rsidRPr="00C71903">
              <w:t xml:space="preserve">; </w:t>
            </w:r>
            <w:r w:rsidRPr="00C71903">
              <w:t>and</w:t>
            </w:r>
          </w:p>
          <w:p w14:paraId="466519F9" w14:textId="15820F00" w:rsidR="00857438" w:rsidRDefault="00822F6E" w:rsidP="00300F3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C71903">
              <w:t xml:space="preserve">sold or offered for sale to the same purchaser in connection with a sale of </w:t>
            </w:r>
            <w:r w:rsidR="00DC1722" w:rsidRPr="00C71903">
              <w:t>the</w:t>
            </w:r>
            <w:r w:rsidRPr="00C71903">
              <w:t xml:space="preserve"> real property </w:t>
            </w:r>
            <w:r w:rsidR="00DC1722" w:rsidRPr="00C71903">
              <w:t>of</w:t>
            </w:r>
            <w:r w:rsidRPr="00C71903">
              <w:t xml:space="preserve"> the community</w:t>
            </w:r>
            <w:r>
              <w:t>.</w:t>
            </w:r>
          </w:p>
          <w:p w14:paraId="2FA249F0" w14:textId="107D50CB" w:rsidR="00814ECE" w:rsidRDefault="00822F6E" w:rsidP="00300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315124">
              <w:t>clarifies that</w:t>
            </w:r>
            <w:r>
              <w:t xml:space="preserve"> a person who is eligible for an exemption from</w:t>
            </w:r>
            <w:r w:rsidR="00817157">
              <w:t xml:space="preserve"> </w:t>
            </w:r>
            <w:r>
              <w:t>hold</w:t>
            </w:r>
            <w:r w:rsidR="00315124">
              <w:t>ing</w:t>
            </w:r>
            <w:r w:rsidR="00817157">
              <w:t xml:space="preserve"> </w:t>
            </w:r>
            <w:r>
              <w:t>a retailer's license remains subject to applicable provisions</w:t>
            </w:r>
            <w:r w:rsidR="00315124">
              <w:t xml:space="preserve"> of the act and TDHCA rules</w:t>
            </w:r>
            <w:r>
              <w:t xml:space="preserve"> regarding </w:t>
            </w:r>
            <w:r w:rsidRPr="00DA4CA9">
              <w:t>the sale or transfer of manufactured homes</w:t>
            </w:r>
            <w:r>
              <w:t>.</w:t>
            </w:r>
          </w:p>
          <w:p w14:paraId="7FFB45EA" w14:textId="77777777" w:rsidR="00814ECE" w:rsidRDefault="00814ECE" w:rsidP="00300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EA080B6" w14:textId="356BA7A2" w:rsidR="00041E15" w:rsidRDefault="00822F6E" w:rsidP="00300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8278F">
              <w:t xml:space="preserve">H.B. 3417 </w:t>
            </w:r>
            <w:r w:rsidR="0082373B">
              <w:t>provides</w:t>
            </w:r>
            <w:r w:rsidR="00DC1722">
              <w:t xml:space="preserve"> </w:t>
            </w:r>
            <w:r w:rsidR="0088278F">
              <w:t>f</w:t>
            </w:r>
            <w:r w:rsidR="00CF41C5">
              <w:t xml:space="preserve">or the information contained in a </w:t>
            </w:r>
            <w:r w:rsidR="00CF41C5" w:rsidRPr="00CF41C5">
              <w:t>formaldehyde health notice</w:t>
            </w:r>
            <w:r w:rsidR="00CF41C5">
              <w:t xml:space="preserve"> for a </w:t>
            </w:r>
            <w:r w:rsidR="00CF41C5" w:rsidRPr="00CF41C5">
              <w:t>HUD-code manufactured home</w:t>
            </w:r>
            <w:r w:rsidR="00CF41C5">
              <w:t xml:space="preserve"> to be as required by the </w:t>
            </w:r>
            <w:r w:rsidR="00CF41C5" w:rsidRPr="00CF41C5">
              <w:t>Manufactured Housing Board within the TDHCA</w:t>
            </w:r>
            <w:r w:rsidR="00CF41C5">
              <w:t xml:space="preserve"> as an alternative to being </w:t>
            </w:r>
            <w:r w:rsidR="00DC1722">
              <w:t xml:space="preserve">the information </w:t>
            </w:r>
            <w:r w:rsidR="00CF41C5">
              <w:t xml:space="preserve">required by </w:t>
            </w:r>
            <w:r w:rsidR="00814ECE" w:rsidRPr="00814ECE">
              <w:t>HUD</w:t>
            </w:r>
            <w:r w:rsidR="00814ECE">
              <w:t>.</w:t>
            </w:r>
            <w:r w:rsidR="00CD4AE2">
              <w:t xml:space="preserve"> </w:t>
            </w:r>
          </w:p>
          <w:p w14:paraId="2E35CFC1" w14:textId="77777777" w:rsidR="00041E15" w:rsidRDefault="00041E15" w:rsidP="00300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747DBC9" w14:textId="1553B089" w:rsidR="00041E15" w:rsidRDefault="00822F6E" w:rsidP="00300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3417 </w:t>
            </w:r>
            <w:r w:rsidR="0082373B">
              <w:t>specifies that</w:t>
            </w:r>
            <w:r>
              <w:t xml:space="preserve"> the new manufactured homes that qualify as </w:t>
            </w:r>
            <w:r w:rsidR="005A7260" w:rsidRPr="00062BCB">
              <w:t xml:space="preserve">inventory </w:t>
            </w:r>
            <w:r>
              <w:t>for purposes of</w:t>
            </w:r>
            <w:r w:rsidR="005A7260" w:rsidRPr="00062BCB">
              <w:t xml:space="preserve"> </w:t>
            </w:r>
            <w:r w:rsidR="00866DB1" w:rsidRPr="00062BCB">
              <w:t xml:space="preserve">provisions relating to manufactured home statements of ownership </w:t>
            </w:r>
            <w:r w:rsidR="0082373B">
              <w:t>are</w:t>
            </w:r>
            <w:r>
              <w:t xml:space="preserve"> </w:t>
            </w:r>
            <w:r w:rsidR="00866DB1" w:rsidRPr="00062BCB">
              <w:t>new manufactured home</w:t>
            </w:r>
            <w:r w:rsidR="000744F7">
              <w:t>s</w:t>
            </w:r>
            <w:r w:rsidR="008D2E60" w:rsidRPr="00062BCB">
              <w:t xml:space="preserve"> purchased by a retailer from a manufacturer.</w:t>
            </w:r>
            <w:r w:rsidR="008D2E60">
              <w:t xml:space="preserve"> The bill excludes as inventory a </w:t>
            </w:r>
            <w:r w:rsidR="008D2E60" w:rsidRPr="008D2E60">
              <w:t>manufactured home used by a retailer as equipment</w:t>
            </w:r>
            <w:r w:rsidR="0082373B">
              <w:t>, as defined by Uniform Commercial Code</w:t>
            </w:r>
            <w:r w:rsidR="00122EC0">
              <w:noBreakHyphen/>
            </w:r>
            <w:r w:rsidR="00122EC0">
              <w:noBreakHyphen/>
            </w:r>
            <w:r w:rsidR="0082373B">
              <w:t>Secured Transactions</w:t>
            </w:r>
            <w:r w:rsidR="008D2E60">
              <w:t xml:space="preserve">. </w:t>
            </w:r>
            <w:r w:rsidR="00454A4D">
              <w:t xml:space="preserve">The bill clarifies </w:t>
            </w:r>
            <w:r>
              <w:t xml:space="preserve">that </w:t>
            </w:r>
            <w:r w:rsidR="00454A4D">
              <w:t xml:space="preserve">a lien on </w:t>
            </w:r>
            <w:r w:rsidR="00454A4D" w:rsidRPr="00454A4D">
              <w:t>manufactured homes in a retailer's inventory</w:t>
            </w:r>
            <w:r>
              <w:t xml:space="preserve"> is perfected only by filing the lien with the TDHCA on the required form</w:t>
            </w:r>
            <w:r w:rsidR="00454A4D">
              <w:t>.</w:t>
            </w:r>
            <w:r w:rsidR="00CE66A4">
              <w:t xml:space="preserve"> </w:t>
            </w:r>
          </w:p>
          <w:p w14:paraId="190E1225" w14:textId="77777777" w:rsidR="00041E15" w:rsidRDefault="00041E15" w:rsidP="00300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B3C933F" w14:textId="4FAAC802" w:rsidR="00C161A6" w:rsidRDefault="00822F6E" w:rsidP="00300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3417 replaces the requirement for the </w:t>
            </w:r>
            <w:r w:rsidRPr="00C161A6">
              <w:t>executive director</w:t>
            </w:r>
            <w:r>
              <w:t xml:space="preserve"> to hold an informal meeting relating to the </w:t>
            </w:r>
            <w:r w:rsidR="00CE66A4">
              <w:t>failure or refusal of a</w:t>
            </w:r>
            <w:r>
              <w:t xml:space="preserve"> </w:t>
            </w:r>
            <w:r w:rsidRPr="00C161A6">
              <w:t xml:space="preserve">manufacturer, </w:t>
            </w:r>
            <w:r w:rsidRPr="00C161A6">
              <w:t>retailer, or installer</w:t>
            </w:r>
            <w:r>
              <w:t xml:space="preserve"> </w:t>
            </w:r>
            <w:r w:rsidRPr="00C161A6">
              <w:t xml:space="preserve">to provide warranty service in accordance with </w:t>
            </w:r>
            <w:r>
              <w:t xml:space="preserve">an applicable </w:t>
            </w:r>
            <w:r w:rsidRPr="00C161A6">
              <w:t>TDHCA order</w:t>
            </w:r>
            <w:r w:rsidR="00CE66A4">
              <w:t xml:space="preserve"> with respect to a </w:t>
            </w:r>
            <w:r w:rsidR="00CE66A4" w:rsidRPr="00CE66A4">
              <w:t>consumer complaint home inspection</w:t>
            </w:r>
            <w:r>
              <w:t xml:space="preserve"> </w:t>
            </w:r>
            <w:r w:rsidR="00CE66A4">
              <w:t xml:space="preserve">with an authorization to </w:t>
            </w:r>
            <w:r w:rsidR="00D80D66">
              <w:t>do so</w:t>
            </w:r>
            <w:r w:rsidR="00CE66A4">
              <w:t>.</w:t>
            </w:r>
          </w:p>
          <w:p w14:paraId="27FBE604" w14:textId="77777777" w:rsidR="008423E4" w:rsidRPr="00835628" w:rsidRDefault="008423E4" w:rsidP="00300F3F">
            <w:pPr>
              <w:rPr>
                <w:b/>
              </w:rPr>
            </w:pPr>
          </w:p>
        </w:tc>
      </w:tr>
      <w:tr w:rsidR="002746D8" w14:paraId="5AEF70CD" w14:textId="77777777" w:rsidTr="00345119">
        <w:tc>
          <w:tcPr>
            <w:tcW w:w="9576" w:type="dxa"/>
          </w:tcPr>
          <w:p w14:paraId="6163DCCD" w14:textId="77777777" w:rsidR="008423E4" w:rsidRPr="00A8133F" w:rsidRDefault="00822F6E" w:rsidP="00300F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1A9517" w14:textId="77777777" w:rsidR="008423E4" w:rsidRDefault="008423E4" w:rsidP="00300F3F"/>
          <w:p w14:paraId="49D66D6B" w14:textId="50AD0FD7" w:rsidR="008423E4" w:rsidRPr="003624F2" w:rsidRDefault="00822F6E" w:rsidP="00300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2308873" w14:textId="77777777" w:rsidR="008423E4" w:rsidRPr="00233FDB" w:rsidRDefault="008423E4" w:rsidP="00300F3F">
            <w:pPr>
              <w:rPr>
                <w:b/>
              </w:rPr>
            </w:pPr>
          </w:p>
        </w:tc>
      </w:tr>
      <w:tr w:rsidR="002746D8" w14:paraId="5B55FFEB" w14:textId="77777777" w:rsidTr="00345119">
        <w:tc>
          <w:tcPr>
            <w:tcW w:w="9576" w:type="dxa"/>
          </w:tcPr>
          <w:p w14:paraId="1D3FD0FA" w14:textId="77777777" w:rsidR="00F97C67" w:rsidRDefault="00822F6E" w:rsidP="00300F3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14:paraId="3179E9B4" w14:textId="77777777" w:rsidR="004A4263" w:rsidRDefault="004A4263" w:rsidP="00300F3F">
            <w:pPr>
              <w:jc w:val="both"/>
            </w:pPr>
          </w:p>
          <w:p w14:paraId="1248E4DC" w14:textId="598D2087" w:rsidR="004A4263" w:rsidRDefault="00822F6E" w:rsidP="00300F3F">
            <w:pPr>
              <w:jc w:val="both"/>
            </w:pPr>
            <w:r>
              <w:t>While C.S.H.B. 3417 may differ from the original in minor or nonsubstantive ways, the following summarizes the substantial differences between the introduced and committee substitute versions of the bill.</w:t>
            </w:r>
          </w:p>
          <w:p w14:paraId="1625BF86" w14:textId="2FC6B271" w:rsidR="004A4263" w:rsidRDefault="004A4263" w:rsidP="00300F3F">
            <w:pPr>
              <w:jc w:val="both"/>
            </w:pPr>
          </w:p>
          <w:p w14:paraId="74B86852" w14:textId="46A82C72" w:rsidR="004A4263" w:rsidRDefault="00822F6E" w:rsidP="00300F3F">
            <w:pPr>
              <w:jc w:val="both"/>
            </w:pPr>
            <w:r>
              <w:t>Whereas the original required the exec</w:t>
            </w:r>
            <w:r>
              <w:t xml:space="preserve">utive director to waive all licensing requirements under the </w:t>
            </w:r>
            <w:r w:rsidRPr="004A4263">
              <w:t xml:space="preserve">Texas Manufactured Housing Standards Act </w:t>
            </w:r>
            <w:r>
              <w:t xml:space="preserve">during a declared emergency that exceeds a </w:t>
            </w:r>
            <w:r w:rsidR="00FF11BA">
              <w:t>14</w:t>
            </w:r>
            <w:r w:rsidR="00122EC0">
              <w:noBreakHyphen/>
            </w:r>
            <w:r w:rsidR="00FF11BA">
              <w:t xml:space="preserve">day </w:t>
            </w:r>
            <w:r>
              <w:t xml:space="preserve">period, the substitute </w:t>
            </w:r>
            <w:r w:rsidR="00FF11BA">
              <w:t>i</w:t>
            </w:r>
            <w:r>
              <w:t>nstead provides the executive director discretion by making the waiving of licen</w:t>
            </w:r>
            <w:r>
              <w:t>sing requirements optional.</w:t>
            </w:r>
          </w:p>
          <w:p w14:paraId="4E5A123E" w14:textId="27400CFF" w:rsidR="003831D7" w:rsidRDefault="003831D7" w:rsidP="00300F3F">
            <w:pPr>
              <w:jc w:val="both"/>
            </w:pPr>
          </w:p>
          <w:p w14:paraId="5F3F6548" w14:textId="458CC874" w:rsidR="003831D7" w:rsidRDefault="00822F6E" w:rsidP="00300F3F">
            <w:pPr>
              <w:jc w:val="both"/>
            </w:pPr>
            <w:r>
              <w:t>The substitute, as a condition of exempting a person from the requirement to hold a retailer's license to sell manufactured homes, requires</w:t>
            </w:r>
            <w:r>
              <w:t xml:space="preserve"> that all the homes sold or offered for sale by the person be sold or offered for sale to the same purchaser in connection with a sale of the real property of </w:t>
            </w:r>
            <w:r w:rsidR="00907B38">
              <w:t xml:space="preserve">the </w:t>
            </w:r>
            <w:r>
              <w:t xml:space="preserve">manufactured home community. </w:t>
            </w:r>
            <w:r w:rsidR="00907B38">
              <w:t>However, t</w:t>
            </w:r>
            <w:r>
              <w:t>he original specified in that condition</w:t>
            </w:r>
            <w:r w:rsidR="00907B38">
              <w:t xml:space="preserve"> that </w:t>
            </w:r>
            <w:r w:rsidR="00152098">
              <w:t>the qualifying sale or offer to the same person is</w:t>
            </w:r>
            <w:r w:rsidR="00907B38">
              <w:t xml:space="preserve"> </w:t>
            </w:r>
            <w:r>
              <w:t xml:space="preserve">in connection with a sale of </w:t>
            </w:r>
            <w:r w:rsidR="00907B38">
              <w:t>a lot or parcel of</w:t>
            </w:r>
            <w:r>
              <w:t xml:space="preserve"> real property </w:t>
            </w:r>
            <w:r w:rsidR="00907B38">
              <w:t>located in the</w:t>
            </w:r>
            <w:r>
              <w:t xml:space="preserve"> community. </w:t>
            </w:r>
          </w:p>
          <w:p w14:paraId="739CA43F" w14:textId="6F42F212" w:rsidR="004A4263" w:rsidRPr="004A4263" w:rsidRDefault="004A4263" w:rsidP="00300F3F">
            <w:pPr>
              <w:jc w:val="both"/>
            </w:pPr>
          </w:p>
        </w:tc>
      </w:tr>
      <w:tr w:rsidR="002746D8" w14:paraId="1F798B5B" w14:textId="77777777" w:rsidTr="00345119">
        <w:tc>
          <w:tcPr>
            <w:tcW w:w="9576" w:type="dxa"/>
          </w:tcPr>
          <w:p w14:paraId="0B82440E" w14:textId="77777777" w:rsidR="00F97C67" w:rsidRPr="009C1E9A" w:rsidRDefault="00F97C67" w:rsidP="00300F3F">
            <w:pPr>
              <w:rPr>
                <w:b/>
                <w:u w:val="single"/>
              </w:rPr>
            </w:pPr>
          </w:p>
        </w:tc>
      </w:tr>
      <w:tr w:rsidR="002746D8" w14:paraId="13304545" w14:textId="77777777" w:rsidTr="00345119">
        <w:tc>
          <w:tcPr>
            <w:tcW w:w="9576" w:type="dxa"/>
          </w:tcPr>
          <w:p w14:paraId="3F860310" w14:textId="77777777" w:rsidR="00F97C67" w:rsidRPr="00F97C67" w:rsidRDefault="00F97C67" w:rsidP="00300F3F">
            <w:pPr>
              <w:jc w:val="both"/>
            </w:pPr>
          </w:p>
        </w:tc>
      </w:tr>
    </w:tbl>
    <w:p w14:paraId="2EC75E30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17518A0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C87F1" w14:textId="77777777" w:rsidR="00000000" w:rsidRDefault="00822F6E">
      <w:r>
        <w:separator/>
      </w:r>
    </w:p>
  </w:endnote>
  <w:endnote w:type="continuationSeparator" w:id="0">
    <w:p w14:paraId="563454B9" w14:textId="77777777" w:rsidR="00000000" w:rsidRDefault="0082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0CA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46D8" w14:paraId="24A67D92" w14:textId="77777777" w:rsidTr="009C1E9A">
      <w:trPr>
        <w:cantSplit/>
      </w:trPr>
      <w:tc>
        <w:tcPr>
          <w:tcW w:w="0" w:type="pct"/>
        </w:tcPr>
        <w:p w14:paraId="136DD2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3BB9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45F0C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32DC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933D6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46D8" w14:paraId="1C502792" w14:textId="77777777" w:rsidTr="009C1E9A">
      <w:trPr>
        <w:cantSplit/>
      </w:trPr>
      <w:tc>
        <w:tcPr>
          <w:tcW w:w="0" w:type="pct"/>
        </w:tcPr>
        <w:p w14:paraId="222C18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ABB475" w14:textId="7AACB128" w:rsidR="00EC379B" w:rsidRPr="009C1E9A" w:rsidRDefault="00822F6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20591</w:t>
          </w:r>
        </w:p>
      </w:tc>
      <w:tc>
        <w:tcPr>
          <w:tcW w:w="2453" w:type="pct"/>
        </w:tcPr>
        <w:p w14:paraId="2636B87C" w14:textId="5B33A297" w:rsidR="00EC379B" w:rsidRDefault="00822F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B7612">
            <w:t>21.108.1253</w:t>
          </w:r>
          <w:r>
            <w:fldChar w:fldCharType="end"/>
          </w:r>
        </w:p>
      </w:tc>
    </w:tr>
    <w:tr w:rsidR="002746D8" w14:paraId="220D0A44" w14:textId="77777777" w:rsidTr="009C1E9A">
      <w:trPr>
        <w:cantSplit/>
      </w:trPr>
      <w:tc>
        <w:tcPr>
          <w:tcW w:w="0" w:type="pct"/>
        </w:tcPr>
        <w:p w14:paraId="4A0ABA3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95E5CF" w14:textId="698DECF4" w:rsidR="00EC379B" w:rsidRPr="009C1E9A" w:rsidRDefault="00822F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16097</w:t>
          </w:r>
        </w:p>
      </w:tc>
      <w:tc>
        <w:tcPr>
          <w:tcW w:w="2453" w:type="pct"/>
        </w:tcPr>
        <w:p w14:paraId="499E014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A3DA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46D8" w14:paraId="5292A9B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94FA3D9" w14:textId="2504ABFE" w:rsidR="00EC379B" w:rsidRDefault="00822F6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00F3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F4DB1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F84DAC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DEB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7243" w14:textId="77777777" w:rsidR="00000000" w:rsidRDefault="00822F6E">
      <w:r>
        <w:separator/>
      </w:r>
    </w:p>
  </w:footnote>
  <w:footnote w:type="continuationSeparator" w:id="0">
    <w:p w14:paraId="3EFF664C" w14:textId="77777777" w:rsidR="00000000" w:rsidRDefault="0082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82A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49FE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748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723"/>
    <w:multiLevelType w:val="hybridMultilevel"/>
    <w:tmpl w:val="762E24BA"/>
    <w:lvl w:ilvl="0" w:tplc="13B8C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2A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86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8B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CC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23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07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E9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E7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641D"/>
    <w:multiLevelType w:val="hybridMultilevel"/>
    <w:tmpl w:val="099CFB24"/>
    <w:lvl w:ilvl="0" w:tplc="B03CA096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4AF03D5A" w:tentative="1">
      <w:start w:val="1"/>
      <w:numFmt w:val="lowerLetter"/>
      <w:lvlText w:val="%2."/>
      <w:lvlJc w:val="left"/>
      <w:pPr>
        <w:ind w:left="1440" w:hanging="360"/>
      </w:pPr>
    </w:lvl>
    <w:lvl w:ilvl="2" w:tplc="EE34CBC8" w:tentative="1">
      <w:start w:val="1"/>
      <w:numFmt w:val="lowerRoman"/>
      <w:lvlText w:val="%3."/>
      <w:lvlJc w:val="right"/>
      <w:pPr>
        <w:ind w:left="2160" w:hanging="180"/>
      </w:pPr>
    </w:lvl>
    <w:lvl w:ilvl="3" w:tplc="74D0A9F4" w:tentative="1">
      <w:start w:val="1"/>
      <w:numFmt w:val="decimal"/>
      <w:lvlText w:val="%4."/>
      <w:lvlJc w:val="left"/>
      <w:pPr>
        <w:ind w:left="2880" w:hanging="360"/>
      </w:pPr>
    </w:lvl>
    <w:lvl w:ilvl="4" w:tplc="9FFE72D0" w:tentative="1">
      <w:start w:val="1"/>
      <w:numFmt w:val="lowerLetter"/>
      <w:lvlText w:val="%5."/>
      <w:lvlJc w:val="left"/>
      <w:pPr>
        <w:ind w:left="3600" w:hanging="360"/>
      </w:pPr>
    </w:lvl>
    <w:lvl w:ilvl="5" w:tplc="263C484A" w:tentative="1">
      <w:start w:val="1"/>
      <w:numFmt w:val="lowerRoman"/>
      <w:lvlText w:val="%6."/>
      <w:lvlJc w:val="right"/>
      <w:pPr>
        <w:ind w:left="4320" w:hanging="180"/>
      </w:pPr>
    </w:lvl>
    <w:lvl w:ilvl="6" w:tplc="C6BA84A4" w:tentative="1">
      <w:start w:val="1"/>
      <w:numFmt w:val="decimal"/>
      <w:lvlText w:val="%7."/>
      <w:lvlJc w:val="left"/>
      <w:pPr>
        <w:ind w:left="5040" w:hanging="360"/>
      </w:pPr>
    </w:lvl>
    <w:lvl w:ilvl="7" w:tplc="00A0437E" w:tentative="1">
      <w:start w:val="1"/>
      <w:numFmt w:val="lowerLetter"/>
      <w:lvlText w:val="%8."/>
      <w:lvlJc w:val="left"/>
      <w:pPr>
        <w:ind w:left="5760" w:hanging="360"/>
      </w:pPr>
    </w:lvl>
    <w:lvl w:ilvl="8" w:tplc="C538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72A"/>
    <w:multiLevelType w:val="hybridMultilevel"/>
    <w:tmpl w:val="CB227328"/>
    <w:lvl w:ilvl="0" w:tplc="4EC43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A5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6B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C6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26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E1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0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4F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0D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0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E1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BCB"/>
    <w:rsid w:val="00064BF2"/>
    <w:rsid w:val="000667BA"/>
    <w:rsid w:val="000676A7"/>
    <w:rsid w:val="00073914"/>
    <w:rsid w:val="00074236"/>
    <w:rsid w:val="000744F7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542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79BD"/>
    <w:rsid w:val="00110F8C"/>
    <w:rsid w:val="0011274A"/>
    <w:rsid w:val="00113522"/>
    <w:rsid w:val="0011378D"/>
    <w:rsid w:val="00115EE9"/>
    <w:rsid w:val="001169F9"/>
    <w:rsid w:val="00120797"/>
    <w:rsid w:val="00122EC0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2098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87C7D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5BB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05B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6D8"/>
    <w:rsid w:val="00274C45"/>
    <w:rsid w:val="00275109"/>
    <w:rsid w:val="00275BEE"/>
    <w:rsid w:val="00277434"/>
    <w:rsid w:val="00280123"/>
    <w:rsid w:val="00281343"/>
    <w:rsid w:val="00281883"/>
    <w:rsid w:val="00286091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0F3F"/>
    <w:rsid w:val="00301638"/>
    <w:rsid w:val="00303B0C"/>
    <w:rsid w:val="0030459C"/>
    <w:rsid w:val="00313DFE"/>
    <w:rsid w:val="003143B2"/>
    <w:rsid w:val="00314821"/>
    <w:rsid w:val="0031483F"/>
    <w:rsid w:val="00315124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6D97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1D7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412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E41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A4D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263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6B05"/>
    <w:rsid w:val="005A0E18"/>
    <w:rsid w:val="005A12A5"/>
    <w:rsid w:val="005A3790"/>
    <w:rsid w:val="005A3CCB"/>
    <w:rsid w:val="005A6D13"/>
    <w:rsid w:val="005A7260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0F9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DE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ECE"/>
    <w:rsid w:val="00815C9D"/>
    <w:rsid w:val="008170E2"/>
    <w:rsid w:val="00817157"/>
    <w:rsid w:val="00822F6E"/>
    <w:rsid w:val="0082373B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438"/>
    <w:rsid w:val="0085797D"/>
    <w:rsid w:val="00860020"/>
    <w:rsid w:val="008618E7"/>
    <w:rsid w:val="00861995"/>
    <w:rsid w:val="0086231A"/>
    <w:rsid w:val="0086477C"/>
    <w:rsid w:val="00864BAD"/>
    <w:rsid w:val="00866DB1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278F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2E60"/>
    <w:rsid w:val="008D309C"/>
    <w:rsid w:val="008D58F9"/>
    <w:rsid w:val="008E1ECC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B38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29A1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612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3E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E19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9F0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2B0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1A6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90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3B0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AE2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6A4"/>
    <w:rsid w:val="00CF41C5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D66"/>
    <w:rsid w:val="00D811E8"/>
    <w:rsid w:val="00D81A44"/>
    <w:rsid w:val="00D81FCC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CA9"/>
    <w:rsid w:val="00DA564B"/>
    <w:rsid w:val="00DA6A5C"/>
    <w:rsid w:val="00DB311F"/>
    <w:rsid w:val="00DB53C6"/>
    <w:rsid w:val="00DB59E3"/>
    <w:rsid w:val="00DB6CB6"/>
    <w:rsid w:val="00DB758F"/>
    <w:rsid w:val="00DC1722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1BCD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F0D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7E6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CE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97C67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1BA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E874E-6757-4112-9898-40D394C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860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60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0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6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091"/>
    <w:rPr>
      <w:b/>
      <w:bCs/>
    </w:rPr>
  </w:style>
  <w:style w:type="character" w:styleId="Hyperlink">
    <w:name w:val="Hyperlink"/>
    <w:basedOn w:val="DefaultParagraphFont"/>
    <w:unhideWhenUsed/>
    <w:rsid w:val="002860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87C7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22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4296</Characters>
  <Application>Microsoft Office Word</Application>
  <DocSecurity>4</DocSecurity>
  <Lines>99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HB03417 (Committee Report (Substituted))</vt:lpstr>
    </vt:vector>
  </TitlesOfParts>
  <Company>State of Texas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20591</dc:subject>
  <dc:creator>State of Texas</dc:creator>
  <dc:description>HB 3417 by Fierro-(H)Urban Affairs (Substitute Document Number: 87R 16097)</dc:description>
  <cp:lastModifiedBy>Emma Bodisch</cp:lastModifiedBy>
  <cp:revision>2</cp:revision>
  <cp:lastPrinted>2003-11-26T17:21:00Z</cp:lastPrinted>
  <dcterms:created xsi:type="dcterms:W3CDTF">2021-04-23T01:08:00Z</dcterms:created>
  <dcterms:modified xsi:type="dcterms:W3CDTF">2021-04-23T01:08:00Z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21.108.1253</vt:lpwstr>
  </property>
</Properties>
</file>