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3AB9" w14:paraId="058AEBCD" w14:textId="77777777" w:rsidTr="00345119">
        <w:tc>
          <w:tcPr>
            <w:tcW w:w="9576" w:type="dxa"/>
            <w:noWrap/>
          </w:tcPr>
          <w:p w14:paraId="2CBA6394" w14:textId="77777777" w:rsidR="008423E4" w:rsidRPr="0022177D" w:rsidRDefault="00807A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84D271" w14:textId="77777777" w:rsidR="008423E4" w:rsidRPr="0022177D" w:rsidRDefault="008423E4" w:rsidP="008423E4">
      <w:pPr>
        <w:jc w:val="center"/>
      </w:pPr>
    </w:p>
    <w:p w14:paraId="2B8A1105" w14:textId="77777777" w:rsidR="008423E4" w:rsidRPr="00B31F0E" w:rsidRDefault="008423E4" w:rsidP="008423E4"/>
    <w:p w14:paraId="6ABBA9BB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3AB9" w14:paraId="7E19E4FB" w14:textId="77777777" w:rsidTr="00345119">
        <w:tc>
          <w:tcPr>
            <w:tcW w:w="9576" w:type="dxa"/>
          </w:tcPr>
          <w:p w14:paraId="3C6B5EA0" w14:textId="2422C762" w:rsidR="008423E4" w:rsidRPr="00861995" w:rsidRDefault="00807A9D" w:rsidP="00345119">
            <w:pPr>
              <w:jc w:val="right"/>
            </w:pPr>
            <w:r>
              <w:t>C.S.H.B. 3439</w:t>
            </w:r>
          </w:p>
        </w:tc>
      </w:tr>
      <w:tr w:rsidR="00DE3AB9" w14:paraId="3B0A5992" w14:textId="77777777" w:rsidTr="00345119">
        <w:tc>
          <w:tcPr>
            <w:tcW w:w="9576" w:type="dxa"/>
          </w:tcPr>
          <w:p w14:paraId="42726E9D" w14:textId="16C607C7" w:rsidR="008423E4" w:rsidRPr="00861995" w:rsidRDefault="00807A9D" w:rsidP="00802DCD">
            <w:pPr>
              <w:jc w:val="right"/>
            </w:pPr>
            <w:r>
              <w:t xml:space="preserve">By: </w:t>
            </w:r>
            <w:r w:rsidR="00802DCD">
              <w:t>Deshotel</w:t>
            </w:r>
          </w:p>
        </w:tc>
      </w:tr>
      <w:tr w:rsidR="00DE3AB9" w14:paraId="061D06D1" w14:textId="77777777" w:rsidTr="00345119">
        <w:tc>
          <w:tcPr>
            <w:tcW w:w="9576" w:type="dxa"/>
          </w:tcPr>
          <w:p w14:paraId="171B1C65" w14:textId="5A1A3968" w:rsidR="008423E4" w:rsidRPr="00861995" w:rsidRDefault="00807A9D" w:rsidP="00345119">
            <w:pPr>
              <w:jc w:val="right"/>
            </w:pPr>
            <w:r>
              <w:t>Ways &amp; Means</w:t>
            </w:r>
          </w:p>
        </w:tc>
      </w:tr>
      <w:tr w:rsidR="00DE3AB9" w14:paraId="3757A4DC" w14:textId="77777777" w:rsidTr="00345119">
        <w:tc>
          <w:tcPr>
            <w:tcW w:w="9576" w:type="dxa"/>
          </w:tcPr>
          <w:p w14:paraId="229B3547" w14:textId="5645A288" w:rsidR="008423E4" w:rsidRDefault="00807A9D" w:rsidP="006F0F97">
            <w:pPr>
              <w:jc w:val="right"/>
            </w:pPr>
            <w:r>
              <w:t>Committee Report (Substituted)</w:t>
            </w:r>
          </w:p>
        </w:tc>
      </w:tr>
    </w:tbl>
    <w:p w14:paraId="385C4B03" w14:textId="77777777" w:rsidR="008423E4" w:rsidRDefault="008423E4" w:rsidP="008423E4">
      <w:pPr>
        <w:tabs>
          <w:tab w:val="right" w:pos="9360"/>
        </w:tabs>
      </w:pPr>
    </w:p>
    <w:p w14:paraId="47B689AE" w14:textId="77777777" w:rsidR="008423E4" w:rsidRDefault="008423E4" w:rsidP="008423E4"/>
    <w:p w14:paraId="40CCBF0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3AB9" w14:paraId="6C926DB9" w14:textId="77777777" w:rsidTr="00345119">
        <w:tc>
          <w:tcPr>
            <w:tcW w:w="9576" w:type="dxa"/>
          </w:tcPr>
          <w:p w14:paraId="09C8B806" w14:textId="77777777" w:rsidR="008423E4" w:rsidRPr="00A8133F" w:rsidRDefault="00807A9D" w:rsidP="003C55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448812A" w14:textId="77777777" w:rsidR="008423E4" w:rsidRPr="003C555D" w:rsidRDefault="008423E4" w:rsidP="003C555D">
            <w:pPr>
              <w:rPr>
                <w:sz w:val="22"/>
                <w:szCs w:val="22"/>
              </w:rPr>
            </w:pPr>
          </w:p>
          <w:p w14:paraId="33B9FA0E" w14:textId="7B19EF3C" w:rsidR="007C7ADF" w:rsidRDefault="00807A9D" w:rsidP="003C555D">
            <w:pPr>
              <w:pStyle w:val="Header"/>
              <w:jc w:val="both"/>
            </w:pPr>
            <w:r w:rsidRPr="007C7ADF">
              <w:t>Local low-income housing developers have recognized current appraisal methods often result in inconsistent property valuations</w:t>
            </w:r>
            <w:r w:rsidR="0084586F">
              <w:t>.</w:t>
            </w:r>
            <w:r w:rsidRPr="007C7ADF">
              <w:t xml:space="preserve"> </w:t>
            </w:r>
            <w:r w:rsidR="0084586F">
              <w:t>D</w:t>
            </w:r>
            <w:r w:rsidRPr="007C7ADF">
              <w:t>uring</w:t>
            </w:r>
            <w:r w:rsidRPr="007C7ADF">
              <w:t xml:space="preserve"> the initial construction and occupancy stabilization phases of a project</w:t>
            </w:r>
            <w:r w:rsidR="0084586F">
              <w:t>,</w:t>
            </w:r>
            <w:r w:rsidRPr="007C7ADF">
              <w:t xml:space="preserve"> inequitable appraisals for a low-income housing development are often successfully challenged</w:t>
            </w:r>
            <w:r w:rsidR="0084586F">
              <w:t>.</w:t>
            </w:r>
            <w:r w:rsidRPr="007C7ADF">
              <w:t xml:space="preserve"> </w:t>
            </w:r>
            <w:r w:rsidR="0084586F">
              <w:t>However, these</w:t>
            </w:r>
            <w:r w:rsidRPr="007C7ADF">
              <w:t xml:space="preserve"> transactions can be costly for all parties involved </w:t>
            </w:r>
            <w:r w:rsidR="0084586F">
              <w:t>and</w:t>
            </w:r>
            <w:r w:rsidR="0084586F" w:rsidRPr="007C7ADF">
              <w:t xml:space="preserve"> </w:t>
            </w:r>
            <w:r w:rsidR="006237BF">
              <w:t>divert a developer's</w:t>
            </w:r>
            <w:r w:rsidRPr="007C7ADF">
              <w:t xml:space="preserve"> resources </w:t>
            </w:r>
            <w:r w:rsidR="006237BF">
              <w:t>ultimately jeopardizing</w:t>
            </w:r>
            <w:r w:rsidRPr="007C7ADF">
              <w:t xml:space="preserve"> housing quality and slow</w:t>
            </w:r>
            <w:r w:rsidR="006237BF">
              <w:t>ing</w:t>
            </w:r>
            <w:r w:rsidRPr="007C7ADF">
              <w:t xml:space="preserve"> the supply of affordable housing in Texas.</w:t>
            </w:r>
            <w:r w:rsidR="00D44945">
              <w:t xml:space="preserve"> </w:t>
            </w:r>
            <w:r w:rsidR="0084586F">
              <w:t>C.S.H.B. 3439 seeks to revise the appraisal procedures for these properties to require that the appraised value be adjusted to account for</w:t>
            </w:r>
            <w:r>
              <w:t xml:space="preserve"> the to</w:t>
            </w:r>
            <w:r>
              <w:t>tal amount of project construction complete</w:t>
            </w:r>
            <w:r w:rsidR="0084586F">
              <w:t xml:space="preserve"> and the percentage of actual occupancy, as applicable.</w:t>
            </w:r>
          </w:p>
          <w:p w14:paraId="5DE67139" w14:textId="77777777" w:rsidR="008423E4" w:rsidRPr="003C555D" w:rsidRDefault="008423E4" w:rsidP="003C555D">
            <w:pPr>
              <w:rPr>
                <w:b/>
                <w:sz w:val="22"/>
                <w:szCs w:val="22"/>
              </w:rPr>
            </w:pPr>
          </w:p>
        </w:tc>
      </w:tr>
      <w:tr w:rsidR="00DE3AB9" w14:paraId="3C66DF97" w14:textId="77777777" w:rsidTr="00345119">
        <w:tc>
          <w:tcPr>
            <w:tcW w:w="9576" w:type="dxa"/>
          </w:tcPr>
          <w:p w14:paraId="48884020" w14:textId="77777777" w:rsidR="0017725B" w:rsidRDefault="00807A9D" w:rsidP="003C55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10F773" w14:textId="77777777" w:rsidR="0017725B" w:rsidRPr="003C555D" w:rsidRDefault="0017725B" w:rsidP="003C555D">
            <w:pPr>
              <w:rPr>
                <w:b/>
                <w:sz w:val="22"/>
                <w:szCs w:val="22"/>
                <w:u w:val="single"/>
              </w:rPr>
            </w:pPr>
          </w:p>
          <w:p w14:paraId="5BF1B8DD" w14:textId="77777777" w:rsidR="00924D65" w:rsidRPr="00924D65" w:rsidRDefault="00807A9D" w:rsidP="003C555D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14:paraId="634DD811" w14:textId="77777777" w:rsidR="0017725B" w:rsidRPr="003C555D" w:rsidRDefault="0017725B" w:rsidP="003C555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E3AB9" w14:paraId="2EC0CB9D" w14:textId="77777777" w:rsidTr="00345119">
        <w:tc>
          <w:tcPr>
            <w:tcW w:w="9576" w:type="dxa"/>
          </w:tcPr>
          <w:p w14:paraId="519C6E69" w14:textId="77777777" w:rsidR="008423E4" w:rsidRPr="00A8133F" w:rsidRDefault="00807A9D" w:rsidP="003C55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94481B7" w14:textId="58F6B26E" w:rsidR="008423E4" w:rsidRPr="003C555D" w:rsidRDefault="008423E4" w:rsidP="003C555D">
            <w:pPr>
              <w:rPr>
                <w:sz w:val="22"/>
                <w:szCs w:val="22"/>
              </w:rPr>
            </w:pPr>
          </w:p>
          <w:p w14:paraId="543145EF" w14:textId="77777777" w:rsidR="00924D65" w:rsidRDefault="00807A9D" w:rsidP="003C55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14:paraId="0154D6CB" w14:textId="77777777" w:rsidR="008423E4" w:rsidRPr="003C555D" w:rsidRDefault="008423E4" w:rsidP="003C555D">
            <w:pPr>
              <w:rPr>
                <w:b/>
                <w:sz w:val="22"/>
                <w:szCs w:val="22"/>
              </w:rPr>
            </w:pPr>
          </w:p>
        </w:tc>
      </w:tr>
      <w:tr w:rsidR="00DE3AB9" w14:paraId="78CEF225" w14:textId="77777777" w:rsidTr="00345119">
        <w:tc>
          <w:tcPr>
            <w:tcW w:w="9576" w:type="dxa"/>
          </w:tcPr>
          <w:p w14:paraId="5E792AD2" w14:textId="00794D01" w:rsidR="008423E4" w:rsidRDefault="00807A9D" w:rsidP="003C555D"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F614AA" w14:textId="77777777" w:rsidR="005702DE" w:rsidRDefault="005702DE" w:rsidP="003C55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056BA00" w14:textId="36054A09" w:rsidR="00232385" w:rsidRDefault="00807A9D" w:rsidP="003C55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47594">
              <w:t xml:space="preserve">H.B. </w:t>
            </w:r>
            <w:r w:rsidR="00C63436">
              <w:t>3439</w:t>
            </w:r>
            <w:r w:rsidR="00947594">
              <w:t xml:space="preserve"> amends the Tax Code to </w:t>
            </w:r>
            <w:r w:rsidR="00D702EB">
              <w:t xml:space="preserve">set out provisions </w:t>
            </w:r>
            <w:r w:rsidR="00D702EB" w:rsidRPr="00D702EB">
              <w:t xml:space="preserve">relating to the appraisal for </w:t>
            </w:r>
            <w:r w:rsidR="00D702EB">
              <w:t>property</w:t>
            </w:r>
            <w:r w:rsidR="00D702EB" w:rsidRPr="00D702EB">
              <w:t xml:space="preserve"> tax purposes of </w:t>
            </w:r>
            <w:r>
              <w:t xml:space="preserve">real property </w:t>
            </w:r>
            <w:r w:rsidR="001C1491">
              <w:t xml:space="preserve">that is </w:t>
            </w:r>
            <w:r>
              <w:t xml:space="preserve">owned </w:t>
            </w:r>
            <w:r w:rsidR="001C1491">
              <w:t xml:space="preserve">for the purpose of renting the property to a qualifying low-income or moderate-income individual or family </w:t>
            </w:r>
            <w:r>
              <w:t>by an organization</w:t>
            </w:r>
            <w:r w:rsidR="001C1491">
              <w:t xml:space="preserve"> that</w:t>
            </w:r>
            <w:r w:rsidR="00275E80">
              <w:t xml:space="preserve"> </w:t>
            </w:r>
            <w:r w:rsidR="00D44945">
              <w:t>h</w:t>
            </w:r>
            <w:r w:rsidR="00275E80">
              <w:t>as</w:t>
            </w:r>
            <w:r w:rsidR="001C1491">
              <w:t xml:space="preserve"> not entered into an agreement with any taxing unit to make payments to the taxing unit instead of taxes on the property and that</w:t>
            </w:r>
            <w:r>
              <w:t>:</w:t>
            </w:r>
          </w:p>
          <w:p w14:paraId="7D31053E" w14:textId="54CFB043" w:rsidR="001C1491" w:rsidRDefault="00807A9D" w:rsidP="003C555D">
            <w:pPr>
              <w:pStyle w:val="Header"/>
              <w:numPr>
                <w:ilvl w:val="0"/>
                <w:numId w:val="2"/>
              </w:numPr>
              <w:spacing w:before="240" w:after="240"/>
              <w:contextualSpacing/>
              <w:jc w:val="both"/>
            </w:pPr>
            <w:r>
              <w:t xml:space="preserve">is or will be </w:t>
            </w:r>
            <w:r w:rsidR="00232385">
              <w:t xml:space="preserve">financed under the low income housing tax credit program </w:t>
            </w:r>
            <w:r w:rsidR="00E60CE6">
              <w:t xml:space="preserve">administered by the </w:t>
            </w:r>
            <w:r w:rsidR="00E60CE6" w:rsidRPr="00E60CE6">
              <w:t>Texas Department of Housing and Community Affairs</w:t>
            </w:r>
            <w:r w:rsidR="00E60CE6">
              <w:t xml:space="preserve"> (TDHCA)</w:t>
            </w:r>
            <w:r>
              <w:t>;</w:t>
            </w:r>
          </w:p>
          <w:p w14:paraId="5DF5A33E" w14:textId="3EA9D980" w:rsidR="00E60CE6" w:rsidRDefault="00807A9D" w:rsidP="003C555D">
            <w:pPr>
              <w:pStyle w:val="Header"/>
              <w:numPr>
                <w:ilvl w:val="0"/>
                <w:numId w:val="2"/>
              </w:numPr>
              <w:spacing w:before="240" w:after="240"/>
              <w:contextualSpacing/>
              <w:jc w:val="both"/>
            </w:pPr>
            <w:r>
              <w:t>is subject to a land use restriction agreement under that program;</w:t>
            </w:r>
            <w:r w:rsidR="001C1491">
              <w:t xml:space="preserve"> and</w:t>
            </w:r>
          </w:p>
          <w:p w14:paraId="47068D4E" w14:textId="55BF64B8" w:rsidR="00232385" w:rsidRDefault="00807A9D" w:rsidP="003C555D">
            <w:pPr>
              <w:pStyle w:val="Header"/>
              <w:numPr>
                <w:ilvl w:val="0"/>
                <w:numId w:val="2"/>
              </w:numPr>
              <w:spacing w:before="240" w:after="240"/>
              <w:contextualSpacing/>
              <w:jc w:val="both"/>
            </w:pPr>
            <w:r>
              <w:t xml:space="preserve">does not receive </w:t>
            </w:r>
            <w:r w:rsidR="00E60CE6">
              <w:t>certain other related property tax</w:t>
            </w:r>
            <w:r>
              <w:t xml:space="preserve"> exemp</w:t>
            </w:r>
            <w:r>
              <w:t>tion</w:t>
            </w:r>
            <w:r w:rsidR="00E60CE6">
              <w:t>s</w:t>
            </w:r>
            <w:r w:rsidR="001C1491">
              <w:t>.</w:t>
            </w:r>
          </w:p>
          <w:p w14:paraId="3750DDC6" w14:textId="77777777" w:rsidR="00232385" w:rsidRPr="003C555D" w:rsidRDefault="00232385" w:rsidP="003C555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14:paraId="6280BAD2" w14:textId="5847D8F6" w:rsidR="00F25941" w:rsidRDefault="00807A9D" w:rsidP="003C55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32385">
              <w:t xml:space="preserve">H.B. </w:t>
            </w:r>
            <w:r w:rsidR="00C63436">
              <w:t>3439</w:t>
            </w:r>
            <w:r w:rsidR="00D702EB">
              <w:t xml:space="preserve"> requires a </w:t>
            </w:r>
            <w:r w:rsidR="001148F2">
              <w:t>chief appraiser</w:t>
            </w:r>
            <w:r w:rsidR="00D702EB">
              <w:t xml:space="preserve">, </w:t>
            </w:r>
            <w:r>
              <w:t>i</w:t>
            </w:r>
            <w:r w:rsidRPr="00F25941">
              <w:t xml:space="preserve">n appraising </w:t>
            </w:r>
            <w:r w:rsidR="00D702EB">
              <w:t xml:space="preserve">an applicable </w:t>
            </w:r>
            <w:r w:rsidRPr="00F25941">
              <w:t xml:space="preserve">property </w:t>
            </w:r>
            <w:r w:rsidR="000B178B">
              <w:t xml:space="preserve">that is </w:t>
            </w:r>
            <w:r w:rsidRPr="00F25941">
              <w:t xml:space="preserve">under construction or that has not reached stabilized occupancy on January 1 of the tax year in which the property is appraised, </w:t>
            </w:r>
            <w:r>
              <w:t>to</w:t>
            </w:r>
            <w:r w:rsidRPr="00F25941">
              <w:t xml:space="preserve"> determine the </w:t>
            </w:r>
            <w:r w:rsidR="00D702EB">
              <w:t xml:space="preserve">property's </w:t>
            </w:r>
            <w:r w:rsidRPr="00F25941">
              <w:t xml:space="preserve">appraised value </w:t>
            </w:r>
            <w:r w:rsidR="00D44945">
              <w:t>using the income method</w:t>
            </w:r>
            <w:r w:rsidR="00D702EB">
              <w:t xml:space="preserve"> of appraisal used for qualifying </w:t>
            </w:r>
            <w:r w:rsidR="00D702EB" w:rsidRPr="00D702EB">
              <w:t xml:space="preserve">organizations </w:t>
            </w:r>
            <w:r w:rsidR="00D702EB">
              <w:t xml:space="preserve">that are </w:t>
            </w:r>
            <w:r w:rsidR="00D702EB" w:rsidRPr="00D702EB">
              <w:t>constructing or rehabilitating low-income housing</w:t>
            </w:r>
            <w:r w:rsidR="00B4355F">
              <w:t>. In doing so, the appraiser must</w:t>
            </w:r>
            <w:r w:rsidR="00275E80">
              <w:t xml:space="preserve"> us</w:t>
            </w:r>
            <w:r w:rsidR="00B4355F">
              <w:t>e</w:t>
            </w:r>
            <w:r w:rsidR="00275E80">
              <w:t xml:space="preserve"> </w:t>
            </w:r>
            <w:r w:rsidRPr="00F25941">
              <w:t>the property's gross income potential and operating expenses based on the</w:t>
            </w:r>
            <w:r w:rsidRPr="00F25941">
              <w:t xml:space="preserve"> property's projected income and expenses for the first full year of operation as established and utilized in the underwriting report pertaining to the property prepared by </w:t>
            </w:r>
            <w:r w:rsidR="00BD63B7">
              <w:t xml:space="preserve">the </w:t>
            </w:r>
            <w:r w:rsidR="009C459F">
              <w:t>TDHCA</w:t>
            </w:r>
            <w:r w:rsidR="001059CB">
              <w:t>, adjusted appropriately</w:t>
            </w:r>
            <w:r w:rsidRPr="00F25941">
              <w:t xml:space="preserve">. </w:t>
            </w:r>
            <w:r w:rsidR="00662956">
              <w:t xml:space="preserve">The </w:t>
            </w:r>
            <w:r w:rsidR="00BD63B7">
              <w:t xml:space="preserve">bill </w:t>
            </w:r>
            <w:r w:rsidR="0071498C">
              <w:t xml:space="preserve">establishes </w:t>
            </w:r>
            <w:r w:rsidR="000B178B">
              <w:t xml:space="preserve">the </w:t>
            </w:r>
            <w:r w:rsidR="0071498C">
              <w:t xml:space="preserve">methods by which </w:t>
            </w:r>
            <w:r w:rsidR="0071498C" w:rsidRPr="0071498C">
              <w:t xml:space="preserve">the </w:t>
            </w:r>
            <w:r w:rsidR="006237BF">
              <w:t>s</w:t>
            </w:r>
            <w:r w:rsidR="00D32EFA">
              <w:t xml:space="preserve">ale of </w:t>
            </w:r>
            <w:r w:rsidR="001421C3">
              <w:t>a</w:t>
            </w:r>
            <w:r w:rsidR="00D32EFA">
              <w:t xml:space="preserve"> property is </w:t>
            </w:r>
            <w:r w:rsidR="0071498C">
              <w:t>to be adjusted</w:t>
            </w:r>
            <w:r w:rsidR="00D52873">
              <w:t xml:space="preserve"> based on percentage of completion or actual occupancy, as applicable</w:t>
            </w:r>
            <w:r w:rsidR="00EB7D8E">
              <w:t xml:space="preserve">. </w:t>
            </w:r>
            <w:r w:rsidR="001421C3" w:rsidRPr="001421C3">
              <w:t xml:space="preserve">For purposes </w:t>
            </w:r>
            <w:r w:rsidR="001421C3">
              <w:t>of the appraisal</w:t>
            </w:r>
            <w:r w:rsidR="001421C3" w:rsidRPr="001421C3">
              <w:t xml:space="preserve">, a property is not considered to be under construction if the purpose of the work being performed on the property is </w:t>
            </w:r>
            <w:r w:rsidR="00250D7F">
              <w:t>standard</w:t>
            </w:r>
            <w:r w:rsidR="00250D7F" w:rsidRPr="001421C3">
              <w:t xml:space="preserve"> </w:t>
            </w:r>
            <w:r w:rsidR="001421C3" w:rsidRPr="001421C3">
              <w:t xml:space="preserve">maintenance or </w:t>
            </w:r>
            <w:r w:rsidR="00250D7F">
              <w:t xml:space="preserve">basic </w:t>
            </w:r>
            <w:r w:rsidR="001421C3" w:rsidRPr="001421C3">
              <w:t>rehabilitation of the property.</w:t>
            </w:r>
          </w:p>
          <w:p w14:paraId="0FA44661" w14:textId="07F0697E" w:rsidR="008423E4" w:rsidRDefault="00807A9D" w:rsidP="003C555D">
            <w:pPr>
              <w:pStyle w:val="Header"/>
              <w:jc w:val="both"/>
              <w:rPr>
                <w:b/>
              </w:rPr>
            </w:pPr>
            <w:r>
              <w:t>C.S.</w:t>
            </w:r>
            <w:r w:rsidR="00BF6562">
              <w:t xml:space="preserve">H.B. </w:t>
            </w:r>
            <w:r w:rsidR="00C63436">
              <w:t>3439</w:t>
            </w:r>
            <w:r w:rsidR="00BF6562">
              <w:t xml:space="preserve"> </w:t>
            </w:r>
            <w:r w:rsidR="00BB5005">
              <w:t>provides for the manner in which a</w:t>
            </w:r>
            <w:r w:rsidR="000B178B">
              <w:t>n applicable</w:t>
            </w:r>
            <w:r w:rsidR="00BB5005">
              <w:t xml:space="preserve"> property is appraised</w:t>
            </w:r>
            <w:r w:rsidR="001472E4">
              <w:t xml:space="preserve"> </w:t>
            </w:r>
            <w:r w:rsidR="00BB5005">
              <w:t xml:space="preserve">for the first </w:t>
            </w:r>
            <w:r w:rsidR="00BB5005" w:rsidRPr="00BB5005">
              <w:t xml:space="preserve">tax year following the year in which construction on the property </w:t>
            </w:r>
            <w:r w:rsidR="001421C3">
              <w:t>is</w:t>
            </w:r>
            <w:r w:rsidR="001421C3" w:rsidRPr="00BB5005">
              <w:t xml:space="preserve"> </w:t>
            </w:r>
            <w:r w:rsidR="00BB5005" w:rsidRPr="00BB5005">
              <w:t xml:space="preserve">complete and occupancy of the property </w:t>
            </w:r>
            <w:r w:rsidR="001421C3">
              <w:t>has</w:t>
            </w:r>
            <w:r w:rsidR="001421C3" w:rsidRPr="00BB5005">
              <w:t xml:space="preserve"> </w:t>
            </w:r>
            <w:r w:rsidR="00BB5005" w:rsidRPr="00BB5005">
              <w:t>stabilized</w:t>
            </w:r>
            <w:r w:rsidR="00BB5005">
              <w:t xml:space="preserve"> and</w:t>
            </w:r>
            <w:r w:rsidR="001C27B1">
              <w:t xml:space="preserve"> </w:t>
            </w:r>
            <w:r w:rsidR="00D52873">
              <w:t xml:space="preserve">for </w:t>
            </w:r>
            <w:r w:rsidR="001C27B1" w:rsidRPr="001C27B1">
              <w:t xml:space="preserve">any </w:t>
            </w:r>
            <w:r w:rsidR="009F711D" w:rsidRPr="001C27B1">
              <w:t xml:space="preserve">subsequent </w:t>
            </w:r>
            <w:r w:rsidR="001C27B1" w:rsidRPr="001C27B1">
              <w:t>tax year</w:t>
            </w:r>
            <w:r w:rsidR="009828BB">
              <w:t>.</w:t>
            </w:r>
          </w:p>
          <w:p w14:paraId="7DA9DEA2" w14:textId="08F3E4FC" w:rsidR="005702DE" w:rsidRPr="00835628" w:rsidRDefault="005702DE" w:rsidP="003C555D">
            <w:pPr>
              <w:pStyle w:val="Header"/>
              <w:jc w:val="both"/>
              <w:rPr>
                <w:b/>
              </w:rPr>
            </w:pPr>
          </w:p>
        </w:tc>
      </w:tr>
      <w:tr w:rsidR="00DE3AB9" w14:paraId="1D9EA02D" w14:textId="77777777" w:rsidTr="00345119">
        <w:tc>
          <w:tcPr>
            <w:tcW w:w="9576" w:type="dxa"/>
          </w:tcPr>
          <w:p w14:paraId="362C7B0A" w14:textId="77777777" w:rsidR="008423E4" w:rsidRPr="00A8133F" w:rsidRDefault="00807A9D" w:rsidP="003C55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790360" w14:textId="77777777" w:rsidR="008423E4" w:rsidRDefault="008423E4" w:rsidP="003C555D"/>
          <w:p w14:paraId="3483646D" w14:textId="46D076B5" w:rsidR="008423E4" w:rsidRPr="003624F2" w:rsidRDefault="00807A9D" w:rsidP="003C55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1, </w:t>
            </w:r>
            <w:r w:rsidR="00C63436">
              <w:t>2022</w:t>
            </w:r>
            <w:r>
              <w:t>.</w:t>
            </w:r>
          </w:p>
          <w:p w14:paraId="2FB06850" w14:textId="77777777" w:rsidR="008423E4" w:rsidRPr="00233FDB" w:rsidRDefault="008423E4" w:rsidP="003C555D">
            <w:pPr>
              <w:rPr>
                <w:b/>
              </w:rPr>
            </w:pPr>
          </w:p>
        </w:tc>
      </w:tr>
      <w:tr w:rsidR="00DE3AB9" w14:paraId="6EA76801" w14:textId="77777777" w:rsidTr="00345119">
        <w:tc>
          <w:tcPr>
            <w:tcW w:w="9576" w:type="dxa"/>
          </w:tcPr>
          <w:p w14:paraId="34D55E84" w14:textId="77777777" w:rsidR="00802DCD" w:rsidRDefault="00807A9D" w:rsidP="00802D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3B3D1C8" w14:textId="77777777" w:rsidR="00E41AC3" w:rsidRDefault="00E41AC3" w:rsidP="00802DCD">
            <w:pPr>
              <w:jc w:val="both"/>
              <w:rPr>
                <w:b/>
                <w:u w:val="single"/>
              </w:rPr>
            </w:pPr>
          </w:p>
          <w:p w14:paraId="7D4E7585" w14:textId="77777777" w:rsidR="00250D7F" w:rsidRDefault="00807A9D" w:rsidP="00250D7F">
            <w:pPr>
              <w:jc w:val="both"/>
            </w:pPr>
            <w:r>
              <w:t xml:space="preserve">While C.S.H.B. 3439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45FF7DC1" w14:textId="77777777" w:rsidR="00250D7F" w:rsidRDefault="00250D7F" w:rsidP="00250D7F">
            <w:pPr>
              <w:jc w:val="both"/>
            </w:pPr>
          </w:p>
          <w:p w14:paraId="75883A7D" w14:textId="77777777" w:rsidR="00250D7F" w:rsidRDefault="00807A9D" w:rsidP="00250D7F">
            <w:pPr>
              <w:jc w:val="both"/>
            </w:pPr>
            <w:r>
              <w:t>The bill revises the original's applicability provisions to change a reference to a property having been financed under the low income h</w:t>
            </w:r>
            <w:r>
              <w:t>ousing tax credit program to reflect the fact that a property does not receive financing under the program prior to construction and to remove the specification that the land use restriction agreement not be expired or have been terminated.</w:t>
            </w:r>
          </w:p>
          <w:p w14:paraId="0638C466" w14:textId="77777777" w:rsidR="00250D7F" w:rsidRDefault="00250D7F" w:rsidP="00250D7F">
            <w:pPr>
              <w:jc w:val="both"/>
            </w:pPr>
          </w:p>
          <w:p w14:paraId="4AD3419D" w14:textId="77777777" w:rsidR="00250D7F" w:rsidRDefault="00807A9D" w:rsidP="00250D7F">
            <w:pPr>
              <w:jc w:val="both"/>
            </w:pPr>
            <w:r>
              <w:t>The substitute</w:t>
            </w:r>
            <w:r>
              <w:t xml:space="preserve"> omits provisions from the original establishing a particular calculation for adjusting the appraised value of a property under construction and provides instead that the value should be adjusted to reflect the percentage of completion.</w:t>
            </w:r>
          </w:p>
          <w:p w14:paraId="25890598" w14:textId="77777777" w:rsidR="00250D7F" w:rsidRDefault="00250D7F" w:rsidP="00250D7F">
            <w:pPr>
              <w:jc w:val="both"/>
            </w:pPr>
          </w:p>
          <w:p w14:paraId="2217305F" w14:textId="14A85EBB" w:rsidR="00250D7F" w:rsidRPr="00802DCD" w:rsidRDefault="00807A9D" w:rsidP="00250D7F">
            <w:pPr>
              <w:jc w:val="both"/>
              <w:rPr>
                <w:b/>
                <w:u w:val="single"/>
              </w:rPr>
            </w:pPr>
            <w:r>
              <w:t xml:space="preserve">The substitute includes a provision that was not in the original establishing that </w:t>
            </w:r>
            <w:r w:rsidRPr="00EB7D8E">
              <w:t xml:space="preserve">a property is not considered to be under construction if the purpose of the work being performed on the property is </w:t>
            </w:r>
            <w:r>
              <w:t>standard</w:t>
            </w:r>
            <w:r w:rsidRPr="00EB7D8E">
              <w:t xml:space="preserve"> maintenance or</w:t>
            </w:r>
            <w:r>
              <w:t xml:space="preserve"> basic</w:t>
            </w:r>
            <w:r w:rsidRPr="00EB7D8E">
              <w:t xml:space="preserve"> rehabilitation of the prope</w:t>
            </w:r>
            <w:r w:rsidRPr="00EB7D8E">
              <w:t>rty.</w:t>
            </w:r>
          </w:p>
        </w:tc>
      </w:tr>
    </w:tbl>
    <w:p w14:paraId="6973B364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6B5E364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C9D2" w14:textId="77777777" w:rsidR="00000000" w:rsidRDefault="00807A9D">
      <w:r>
        <w:separator/>
      </w:r>
    </w:p>
  </w:endnote>
  <w:endnote w:type="continuationSeparator" w:id="0">
    <w:p w14:paraId="7A89B27C" w14:textId="77777777" w:rsidR="00000000" w:rsidRDefault="0080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1A4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3AB9" w14:paraId="3B89073E" w14:textId="77777777" w:rsidTr="009C1E9A">
      <w:trPr>
        <w:cantSplit/>
      </w:trPr>
      <w:tc>
        <w:tcPr>
          <w:tcW w:w="0" w:type="pct"/>
        </w:tcPr>
        <w:p w14:paraId="3DB747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44F5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9ACB7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7CED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AB3E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3AB9" w14:paraId="0379AE6E" w14:textId="77777777" w:rsidTr="009C1E9A">
      <w:trPr>
        <w:cantSplit/>
      </w:trPr>
      <w:tc>
        <w:tcPr>
          <w:tcW w:w="0" w:type="pct"/>
        </w:tcPr>
        <w:p w14:paraId="12E7BA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E8C151" w14:textId="74410D63" w:rsidR="00EC379B" w:rsidRPr="009C1E9A" w:rsidRDefault="00807A9D" w:rsidP="006F0F9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23493</w:t>
          </w:r>
        </w:p>
      </w:tc>
      <w:tc>
        <w:tcPr>
          <w:tcW w:w="2453" w:type="pct"/>
        </w:tcPr>
        <w:p w14:paraId="224D1DB7" w14:textId="4B963B4A" w:rsidR="00EC379B" w:rsidRDefault="00807A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B6C5B">
            <w:t>21.118.1241</w:t>
          </w:r>
          <w:r>
            <w:fldChar w:fldCharType="end"/>
          </w:r>
        </w:p>
      </w:tc>
    </w:tr>
    <w:tr w:rsidR="00DE3AB9" w14:paraId="7A4D33C5" w14:textId="77777777" w:rsidTr="009C1E9A">
      <w:trPr>
        <w:cantSplit/>
      </w:trPr>
      <w:tc>
        <w:tcPr>
          <w:tcW w:w="0" w:type="pct"/>
        </w:tcPr>
        <w:p w14:paraId="6E25673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BF64842" w14:textId="1C8A3356" w:rsidR="00EC379B" w:rsidRPr="009C1E9A" w:rsidRDefault="00807A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19716</w:t>
          </w:r>
        </w:p>
      </w:tc>
      <w:tc>
        <w:tcPr>
          <w:tcW w:w="2453" w:type="pct"/>
        </w:tcPr>
        <w:p w14:paraId="223ECF5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A4FB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3AB9" w14:paraId="2F93CBA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C803D9" w14:textId="4F0F10F1" w:rsidR="00EC379B" w:rsidRDefault="00807A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B6C5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A48A2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F7FB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E59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32B4" w14:textId="77777777" w:rsidR="00000000" w:rsidRDefault="00807A9D">
      <w:r>
        <w:separator/>
      </w:r>
    </w:p>
  </w:footnote>
  <w:footnote w:type="continuationSeparator" w:id="0">
    <w:p w14:paraId="3289E235" w14:textId="77777777" w:rsidR="00000000" w:rsidRDefault="0080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7FAE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7C8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A9B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67"/>
    <w:multiLevelType w:val="hybridMultilevel"/>
    <w:tmpl w:val="5DC611B0"/>
    <w:lvl w:ilvl="0" w:tplc="2E7CA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88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0B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6C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81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E2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06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CA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C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F1A"/>
    <w:multiLevelType w:val="hybridMultilevel"/>
    <w:tmpl w:val="BCB4F5E0"/>
    <w:lvl w:ilvl="0" w:tplc="46E88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E0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C3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C3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E7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E6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67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E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69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9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5C0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78B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113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2D80"/>
    <w:rsid w:val="000F3DBD"/>
    <w:rsid w:val="000F5843"/>
    <w:rsid w:val="000F6A06"/>
    <w:rsid w:val="0010154D"/>
    <w:rsid w:val="00102D3F"/>
    <w:rsid w:val="00102EC7"/>
    <w:rsid w:val="0010347D"/>
    <w:rsid w:val="001059CB"/>
    <w:rsid w:val="00110F8C"/>
    <w:rsid w:val="0011274A"/>
    <w:rsid w:val="00113522"/>
    <w:rsid w:val="0011378D"/>
    <w:rsid w:val="001148F2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1C3"/>
    <w:rsid w:val="00142F8E"/>
    <w:rsid w:val="00143C8B"/>
    <w:rsid w:val="001472E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4A1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491"/>
    <w:rsid w:val="001C27B1"/>
    <w:rsid w:val="001C5FA2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B4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74"/>
    <w:rsid w:val="002304DF"/>
    <w:rsid w:val="00232385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0D7F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E80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F2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E47"/>
    <w:rsid w:val="003747DF"/>
    <w:rsid w:val="00377E3D"/>
    <w:rsid w:val="003847E8"/>
    <w:rsid w:val="0038731D"/>
    <w:rsid w:val="00387B60"/>
    <w:rsid w:val="00390098"/>
    <w:rsid w:val="00392DA1"/>
    <w:rsid w:val="00393718"/>
    <w:rsid w:val="00395E52"/>
    <w:rsid w:val="003A0296"/>
    <w:rsid w:val="003A10BC"/>
    <w:rsid w:val="003B1501"/>
    <w:rsid w:val="003B185E"/>
    <w:rsid w:val="003B198A"/>
    <w:rsid w:val="003B1CA3"/>
    <w:rsid w:val="003B1ED9"/>
    <w:rsid w:val="003B2891"/>
    <w:rsid w:val="003B3854"/>
    <w:rsid w:val="003B3DF3"/>
    <w:rsid w:val="003B48E2"/>
    <w:rsid w:val="003B4FA1"/>
    <w:rsid w:val="003B5BAD"/>
    <w:rsid w:val="003B66B6"/>
    <w:rsid w:val="003B6C5B"/>
    <w:rsid w:val="003B7984"/>
    <w:rsid w:val="003B7AF6"/>
    <w:rsid w:val="003C0411"/>
    <w:rsid w:val="003C1871"/>
    <w:rsid w:val="003C1C55"/>
    <w:rsid w:val="003C25EA"/>
    <w:rsid w:val="003C36FD"/>
    <w:rsid w:val="003C555D"/>
    <w:rsid w:val="003C664C"/>
    <w:rsid w:val="003D726D"/>
    <w:rsid w:val="003E0875"/>
    <w:rsid w:val="003E0BB8"/>
    <w:rsid w:val="003E3623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71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88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2DE"/>
    <w:rsid w:val="00573401"/>
    <w:rsid w:val="00576714"/>
    <w:rsid w:val="0057685A"/>
    <w:rsid w:val="00580F13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5B6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7BF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46D"/>
    <w:rsid w:val="00650692"/>
    <w:rsid w:val="006508D3"/>
    <w:rsid w:val="00650AFA"/>
    <w:rsid w:val="00662956"/>
    <w:rsid w:val="00662B77"/>
    <w:rsid w:val="00662D0E"/>
    <w:rsid w:val="00663265"/>
    <w:rsid w:val="0066345F"/>
    <w:rsid w:val="0066485B"/>
    <w:rsid w:val="0067036E"/>
    <w:rsid w:val="00671693"/>
    <w:rsid w:val="0067313C"/>
    <w:rsid w:val="006757AA"/>
    <w:rsid w:val="0068127E"/>
    <w:rsid w:val="00681790"/>
    <w:rsid w:val="006823AA"/>
    <w:rsid w:val="00684B98"/>
    <w:rsid w:val="006854D7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F97"/>
    <w:rsid w:val="006F148C"/>
    <w:rsid w:val="006F365D"/>
    <w:rsid w:val="006F477C"/>
    <w:rsid w:val="006F4BB0"/>
    <w:rsid w:val="007031BD"/>
    <w:rsid w:val="00703E80"/>
    <w:rsid w:val="00705276"/>
    <w:rsid w:val="0070639B"/>
    <w:rsid w:val="007066A0"/>
    <w:rsid w:val="007075FB"/>
    <w:rsid w:val="0070787B"/>
    <w:rsid w:val="0071131D"/>
    <w:rsid w:val="00711E3D"/>
    <w:rsid w:val="00711E85"/>
    <w:rsid w:val="00712DDA"/>
    <w:rsid w:val="0071498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A4C"/>
    <w:rsid w:val="007A7EC1"/>
    <w:rsid w:val="007B4FCA"/>
    <w:rsid w:val="007B7B85"/>
    <w:rsid w:val="007C462E"/>
    <w:rsid w:val="007C496B"/>
    <w:rsid w:val="007C6803"/>
    <w:rsid w:val="007C7ADF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2DCD"/>
    <w:rsid w:val="00805402"/>
    <w:rsid w:val="0080765F"/>
    <w:rsid w:val="00807A9D"/>
    <w:rsid w:val="00812BE3"/>
    <w:rsid w:val="00814516"/>
    <w:rsid w:val="00815C9D"/>
    <w:rsid w:val="008170E2"/>
    <w:rsid w:val="00823E4C"/>
    <w:rsid w:val="00827749"/>
    <w:rsid w:val="00827B7E"/>
    <w:rsid w:val="00830EEB"/>
    <w:rsid w:val="00830FD6"/>
    <w:rsid w:val="008347A9"/>
    <w:rsid w:val="00835628"/>
    <w:rsid w:val="00835E90"/>
    <w:rsid w:val="0084176D"/>
    <w:rsid w:val="008423E4"/>
    <w:rsid w:val="00842900"/>
    <w:rsid w:val="0084586F"/>
    <w:rsid w:val="00850CF0"/>
    <w:rsid w:val="00851869"/>
    <w:rsid w:val="00851C04"/>
    <w:rsid w:val="008531A1"/>
    <w:rsid w:val="00853A94"/>
    <w:rsid w:val="008547A3"/>
    <w:rsid w:val="0085485B"/>
    <w:rsid w:val="0085797D"/>
    <w:rsid w:val="00860020"/>
    <w:rsid w:val="008618E7"/>
    <w:rsid w:val="00861995"/>
    <w:rsid w:val="0086231A"/>
    <w:rsid w:val="00862497"/>
    <w:rsid w:val="0086477C"/>
    <w:rsid w:val="00864BAD"/>
    <w:rsid w:val="00866F9D"/>
    <w:rsid w:val="008673D9"/>
    <w:rsid w:val="00871775"/>
    <w:rsid w:val="00871AEF"/>
    <w:rsid w:val="00872246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FA9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2B71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D65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594"/>
    <w:rsid w:val="00953499"/>
    <w:rsid w:val="00954A16"/>
    <w:rsid w:val="00955CC9"/>
    <w:rsid w:val="0095696D"/>
    <w:rsid w:val="0096482F"/>
    <w:rsid w:val="00964E3A"/>
    <w:rsid w:val="00967126"/>
    <w:rsid w:val="00970EAE"/>
    <w:rsid w:val="00971627"/>
    <w:rsid w:val="00972797"/>
    <w:rsid w:val="0097279D"/>
    <w:rsid w:val="00976350"/>
    <w:rsid w:val="00976837"/>
    <w:rsid w:val="00980311"/>
    <w:rsid w:val="0098170E"/>
    <w:rsid w:val="0098285C"/>
    <w:rsid w:val="009828BB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459F"/>
    <w:rsid w:val="009C5A1D"/>
    <w:rsid w:val="009C6B08"/>
    <w:rsid w:val="009C70FC"/>
    <w:rsid w:val="009D002B"/>
    <w:rsid w:val="009D37C7"/>
    <w:rsid w:val="009D3DB1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11D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9E3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6D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55F"/>
    <w:rsid w:val="00B43672"/>
    <w:rsid w:val="00B43D6F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EAA"/>
    <w:rsid w:val="00BB5005"/>
    <w:rsid w:val="00BB5B36"/>
    <w:rsid w:val="00BC027B"/>
    <w:rsid w:val="00BC30A6"/>
    <w:rsid w:val="00BC3ED3"/>
    <w:rsid w:val="00BC3EF6"/>
    <w:rsid w:val="00BC443F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3B7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562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43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BD6"/>
    <w:rsid w:val="00CF4C69"/>
    <w:rsid w:val="00CF581C"/>
    <w:rsid w:val="00CF71E0"/>
    <w:rsid w:val="00D001B1"/>
    <w:rsid w:val="00D03156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EFA"/>
    <w:rsid w:val="00D35728"/>
    <w:rsid w:val="00D37BCF"/>
    <w:rsid w:val="00D40F93"/>
    <w:rsid w:val="00D42277"/>
    <w:rsid w:val="00D43C59"/>
    <w:rsid w:val="00D44945"/>
    <w:rsid w:val="00D44ADE"/>
    <w:rsid w:val="00D50D65"/>
    <w:rsid w:val="00D512E0"/>
    <w:rsid w:val="00D519F3"/>
    <w:rsid w:val="00D51D2A"/>
    <w:rsid w:val="00D52873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55B"/>
    <w:rsid w:val="00D700B1"/>
    <w:rsid w:val="00D702EB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1F30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E6A"/>
    <w:rsid w:val="00DC3D8F"/>
    <w:rsid w:val="00DC42E8"/>
    <w:rsid w:val="00DC6600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AB9"/>
    <w:rsid w:val="00DE49DE"/>
    <w:rsid w:val="00DE618B"/>
    <w:rsid w:val="00DE6EC2"/>
    <w:rsid w:val="00DF0834"/>
    <w:rsid w:val="00DF2707"/>
    <w:rsid w:val="00DF4D90"/>
    <w:rsid w:val="00DF5EBD"/>
    <w:rsid w:val="00DF6467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AC3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CE6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D8E"/>
    <w:rsid w:val="00EC02A2"/>
    <w:rsid w:val="00EC1EB1"/>
    <w:rsid w:val="00EC379B"/>
    <w:rsid w:val="00EC37DF"/>
    <w:rsid w:val="00EC41B1"/>
    <w:rsid w:val="00EC4D59"/>
    <w:rsid w:val="00ED0665"/>
    <w:rsid w:val="00ED12C0"/>
    <w:rsid w:val="00ED19F0"/>
    <w:rsid w:val="00ED2B50"/>
    <w:rsid w:val="00ED3A32"/>
    <w:rsid w:val="00ED3BDE"/>
    <w:rsid w:val="00ED51B5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94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F4C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612"/>
    <w:rsid w:val="00F7758F"/>
    <w:rsid w:val="00F82811"/>
    <w:rsid w:val="00F84153"/>
    <w:rsid w:val="00F85661"/>
    <w:rsid w:val="00F907C8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C6A1F8-A22F-4105-802D-65242F4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5F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F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FA2"/>
    <w:rPr>
      <w:b/>
      <w:bCs/>
    </w:rPr>
  </w:style>
  <w:style w:type="paragraph" w:styleId="Revision">
    <w:name w:val="Revision"/>
    <w:hidden/>
    <w:uiPriority w:val="99"/>
    <w:semiHidden/>
    <w:rsid w:val="003B3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3833</Characters>
  <Application>Microsoft Office Word</Application>
  <DocSecurity>4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HB03439 (Committee Report (Substituted))</vt:lpstr>
    </vt:vector>
  </TitlesOfParts>
  <Company>State of Texas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23493</dc:subject>
  <dc:creator>State of Texas</dc:creator>
  <dc:description>HB 3439 by Deshotel-(H)Ways &amp; Means (Substitute Document Number: 87R 19716)</dc:description>
  <cp:lastModifiedBy>Stacey Nicchio</cp:lastModifiedBy>
  <cp:revision>2</cp:revision>
  <cp:lastPrinted>2019-04-14T20:50:00Z</cp:lastPrinted>
  <dcterms:created xsi:type="dcterms:W3CDTF">2021-04-30T00:18:00Z</dcterms:created>
  <dcterms:modified xsi:type="dcterms:W3CDTF">2021-04-30T00:18:00Z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21.118.1241</vt:lpwstr>
  </property>
</Properties>
</file>