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F5BCF" w14:paraId="649A5913" w14:textId="77777777" w:rsidTr="00345119">
        <w:tc>
          <w:tcPr>
            <w:tcW w:w="9576" w:type="dxa"/>
            <w:noWrap/>
          </w:tcPr>
          <w:p w14:paraId="02A08EFE" w14:textId="77777777" w:rsidR="008423E4" w:rsidRPr="0022177D" w:rsidRDefault="00BD58F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0580D97" w14:textId="77777777" w:rsidR="008423E4" w:rsidRPr="0022177D" w:rsidRDefault="008423E4" w:rsidP="008423E4">
      <w:pPr>
        <w:jc w:val="center"/>
      </w:pPr>
    </w:p>
    <w:p w14:paraId="1D0E229D" w14:textId="77777777" w:rsidR="008423E4" w:rsidRPr="00B31F0E" w:rsidRDefault="008423E4" w:rsidP="008423E4"/>
    <w:p w14:paraId="4252A2D3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F5BCF" w14:paraId="0395DFDA" w14:textId="77777777" w:rsidTr="00345119">
        <w:tc>
          <w:tcPr>
            <w:tcW w:w="9576" w:type="dxa"/>
          </w:tcPr>
          <w:p w14:paraId="773D3E8F" w14:textId="77777777" w:rsidR="008423E4" w:rsidRPr="00861995" w:rsidRDefault="00BD58FA" w:rsidP="00345119">
            <w:pPr>
              <w:jc w:val="right"/>
            </w:pPr>
            <w:r>
              <w:t>C.S.H.B. 3570</w:t>
            </w:r>
          </w:p>
        </w:tc>
      </w:tr>
      <w:tr w:rsidR="00EF5BCF" w14:paraId="0B60F221" w14:textId="77777777" w:rsidTr="00345119">
        <w:tc>
          <w:tcPr>
            <w:tcW w:w="9576" w:type="dxa"/>
          </w:tcPr>
          <w:p w14:paraId="27B950E4" w14:textId="77777777" w:rsidR="008423E4" w:rsidRPr="00861995" w:rsidRDefault="00BD58FA" w:rsidP="00345119">
            <w:pPr>
              <w:jc w:val="right"/>
            </w:pPr>
            <w:r>
              <w:t xml:space="preserve">By: </w:t>
            </w:r>
            <w:r w:rsidR="00631A9E">
              <w:t>Wilson</w:t>
            </w:r>
          </w:p>
        </w:tc>
      </w:tr>
      <w:tr w:rsidR="00EF5BCF" w14:paraId="1F18568B" w14:textId="77777777" w:rsidTr="00345119">
        <w:tc>
          <w:tcPr>
            <w:tcW w:w="9576" w:type="dxa"/>
          </w:tcPr>
          <w:p w14:paraId="2135916A" w14:textId="77777777" w:rsidR="008423E4" w:rsidRPr="00861995" w:rsidRDefault="00BD58FA" w:rsidP="00345119">
            <w:pPr>
              <w:jc w:val="right"/>
            </w:pPr>
            <w:r>
              <w:t>Land &amp; Resource Management</w:t>
            </w:r>
          </w:p>
        </w:tc>
      </w:tr>
      <w:tr w:rsidR="00EF5BCF" w14:paraId="7D232631" w14:textId="77777777" w:rsidTr="00345119">
        <w:tc>
          <w:tcPr>
            <w:tcW w:w="9576" w:type="dxa"/>
          </w:tcPr>
          <w:p w14:paraId="03BCCD78" w14:textId="77777777" w:rsidR="008423E4" w:rsidRDefault="00BD58FA" w:rsidP="00345119">
            <w:pPr>
              <w:jc w:val="right"/>
            </w:pPr>
            <w:r>
              <w:t>Committee Report (Substituted)</w:t>
            </w:r>
          </w:p>
        </w:tc>
      </w:tr>
    </w:tbl>
    <w:p w14:paraId="487D2F72" w14:textId="77777777" w:rsidR="008423E4" w:rsidRDefault="008423E4" w:rsidP="008423E4">
      <w:pPr>
        <w:tabs>
          <w:tab w:val="right" w:pos="9360"/>
        </w:tabs>
      </w:pPr>
    </w:p>
    <w:p w14:paraId="0591F5D2" w14:textId="77777777" w:rsidR="008423E4" w:rsidRDefault="008423E4" w:rsidP="008423E4"/>
    <w:p w14:paraId="4B901EC1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F5BCF" w14:paraId="5DC74ABC" w14:textId="77777777" w:rsidTr="00345119">
        <w:tc>
          <w:tcPr>
            <w:tcW w:w="9576" w:type="dxa"/>
          </w:tcPr>
          <w:p w14:paraId="72F8A50E" w14:textId="77777777" w:rsidR="008423E4" w:rsidRPr="00A8133F" w:rsidRDefault="00BD58FA" w:rsidP="00CF6E3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7E10D36" w14:textId="77777777" w:rsidR="008423E4" w:rsidRDefault="008423E4" w:rsidP="00CF6E31"/>
          <w:p w14:paraId="1FC4A5AA" w14:textId="55D4632D" w:rsidR="008423E4" w:rsidRDefault="00BD58FA" w:rsidP="00CF6E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 1992 the City of Burnet bought </w:t>
            </w:r>
            <w:r w:rsidR="005776B8">
              <w:t>several hundred</w:t>
            </w:r>
            <w:r>
              <w:t xml:space="preserve"> acres of</w:t>
            </w:r>
            <w:r w:rsidR="00C81235">
              <w:t xml:space="preserve"> real</w:t>
            </w:r>
            <w:r w:rsidR="005776B8">
              <w:t xml:space="preserve"> </w:t>
            </w:r>
            <w:r w:rsidR="00C81235">
              <w:t xml:space="preserve">property </w:t>
            </w:r>
            <w:r>
              <w:t xml:space="preserve">and donated the </w:t>
            </w:r>
            <w:r w:rsidR="00C81235">
              <w:t xml:space="preserve">property </w:t>
            </w:r>
            <w:r>
              <w:t xml:space="preserve">to the Texas Department </w:t>
            </w:r>
            <w:r>
              <w:t>of Criminal Justice (TDCJ) in order for TDCJ to build a women</w:t>
            </w:r>
            <w:r w:rsidR="00600F1C">
              <w:t>'</w:t>
            </w:r>
            <w:r>
              <w:t xml:space="preserve">s correctional facility. The facility was never constructed and the </w:t>
            </w:r>
            <w:r w:rsidR="00C81235">
              <w:t>c</w:t>
            </w:r>
            <w:r>
              <w:t xml:space="preserve">ity would like to regain control of the </w:t>
            </w:r>
            <w:r w:rsidR="00C81235">
              <w:t>property</w:t>
            </w:r>
            <w:r>
              <w:t>.</w:t>
            </w:r>
            <w:r w:rsidR="005776B8">
              <w:t xml:space="preserve"> </w:t>
            </w:r>
            <w:r w:rsidR="00C81235">
              <w:t>C.S.</w:t>
            </w:r>
            <w:r>
              <w:t>H</w:t>
            </w:r>
            <w:r w:rsidR="00C81235">
              <w:t>.</w:t>
            </w:r>
            <w:r>
              <w:t>B</w:t>
            </w:r>
            <w:r w:rsidR="00C81235">
              <w:t>.</w:t>
            </w:r>
            <w:r>
              <w:t xml:space="preserve"> 3570 </w:t>
            </w:r>
            <w:r w:rsidR="00C81235">
              <w:t xml:space="preserve">requires TDCJ to </w:t>
            </w:r>
            <w:r>
              <w:t xml:space="preserve">transfer the </w:t>
            </w:r>
            <w:r w:rsidR="00C81235">
              <w:t>real property</w:t>
            </w:r>
            <w:r>
              <w:t xml:space="preserve"> to the </w:t>
            </w:r>
            <w:r w:rsidR="00C81235">
              <w:t>c</w:t>
            </w:r>
            <w:r>
              <w:t xml:space="preserve">ity with </w:t>
            </w:r>
            <w:r>
              <w:t xml:space="preserve">the condition that </w:t>
            </w:r>
            <w:r w:rsidR="00340F59">
              <w:t xml:space="preserve">the </w:t>
            </w:r>
            <w:r w:rsidR="00C81235">
              <w:t>c</w:t>
            </w:r>
            <w:r>
              <w:t xml:space="preserve">ity use the </w:t>
            </w:r>
            <w:r w:rsidR="005776B8">
              <w:t>property</w:t>
            </w:r>
            <w:r>
              <w:t xml:space="preserve"> </w:t>
            </w:r>
            <w:r w:rsidR="00C81235">
              <w:t xml:space="preserve">only </w:t>
            </w:r>
            <w:r>
              <w:t xml:space="preserve">for </w:t>
            </w:r>
            <w:r w:rsidR="00C81235">
              <w:t>a purpose</w:t>
            </w:r>
            <w:r>
              <w:t xml:space="preserve"> that benefits the public interest of the state.</w:t>
            </w:r>
          </w:p>
          <w:p w14:paraId="56142474" w14:textId="77777777" w:rsidR="008423E4" w:rsidRPr="00E26B13" w:rsidRDefault="008423E4" w:rsidP="00CF6E31">
            <w:pPr>
              <w:rPr>
                <w:b/>
              </w:rPr>
            </w:pPr>
          </w:p>
        </w:tc>
      </w:tr>
      <w:tr w:rsidR="00EF5BCF" w14:paraId="594108EC" w14:textId="77777777" w:rsidTr="00345119">
        <w:tc>
          <w:tcPr>
            <w:tcW w:w="9576" w:type="dxa"/>
          </w:tcPr>
          <w:p w14:paraId="418AEAE9" w14:textId="77777777" w:rsidR="0017725B" w:rsidRDefault="00BD58FA" w:rsidP="00CF6E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962B39B" w14:textId="77777777" w:rsidR="0017725B" w:rsidRDefault="0017725B" w:rsidP="00CF6E31">
            <w:pPr>
              <w:rPr>
                <w:b/>
                <w:u w:val="single"/>
              </w:rPr>
            </w:pPr>
          </w:p>
          <w:p w14:paraId="2A90F54F" w14:textId="77777777" w:rsidR="00474F99" w:rsidRPr="00474F99" w:rsidRDefault="00BD58FA" w:rsidP="00CF6E31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14:paraId="161FB3CA" w14:textId="77777777" w:rsidR="0017725B" w:rsidRPr="0017725B" w:rsidRDefault="0017725B" w:rsidP="00CF6E31">
            <w:pPr>
              <w:rPr>
                <w:b/>
                <w:u w:val="single"/>
              </w:rPr>
            </w:pPr>
          </w:p>
        </w:tc>
      </w:tr>
      <w:tr w:rsidR="00EF5BCF" w14:paraId="364C035B" w14:textId="77777777" w:rsidTr="00345119">
        <w:tc>
          <w:tcPr>
            <w:tcW w:w="9576" w:type="dxa"/>
          </w:tcPr>
          <w:p w14:paraId="2F003CF2" w14:textId="77777777" w:rsidR="008423E4" w:rsidRPr="00A8133F" w:rsidRDefault="00BD58FA" w:rsidP="00CF6E3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72EE961" w14:textId="77777777" w:rsidR="008423E4" w:rsidRDefault="008423E4" w:rsidP="00CF6E31"/>
          <w:p w14:paraId="1DBC036F" w14:textId="77777777" w:rsidR="00474F99" w:rsidRDefault="00BD58FA" w:rsidP="00CF6E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50DC80F4" w14:textId="77777777" w:rsidR="008423E4" w:rsidRPr="00E21FDC" w:rsidRDefault="008423E4" w:rsidP="00CF6E31">
            <w:pPr>
              <w:rPr>
                <w:b/>
              </w:rPr>
            </w:pPr>
          </w:p>
        </w:tc>
      </w:tr>
      <w:tr w:rsidR="00EF5BCF" w14:paraId="20DAEC9C" w14:textId="77777777" w:rsidTr="00345119">
        <w:tc>
          <w:tcPr>
            <w:tcW w:w="9576" w:type="dxa"/>
          </w:tcPr>
          <w:p w14:paraId="1D29976C" w14:textId="77777777" w:rsidR="008423E4" w:rsidRPr="00A8133F" w:rsidRDefault="00BD58FA" w:rsidP="00CF6E3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FA2CA26" w14:textId="77777777" w:rsidR="008423E4" w:rsidRDefault="008423E4" w:rsidP="00CF6E31"/>
          <w:p w14:paraId="0331EB53" w14:textId="1EE13F0B" w:rsidR="00ED4F98" w:rsidRDefault="00BD58FA" w:rsidP="00CF6E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3570 requires the Texas Department of Criminal Justice </w:t>
            </w:r>
            <w:r w:rsidRPr="00ED4F98">
              <w:t>(TDCJ)</w:t>
            </w:r>
            <w:r>
              <w:t xml:space="preserve"> to transfer to the City of Burnet real property described</w:t>
            </w:r>
            <w:r>
              <w:t xml:space="preserve"> by the bill. The bill requires the city to use the transferred property only for a purpose that benefits the public interest of the state</w:t>
            </w:r>
            <w:r w:rsidR="0083268D">
              <w:t xml:space="preserve"> and </w:t>
            </w:r>
            <w:r>
              <w:t>establishes that</w:t>
            </w:r>
            <w:r w:rsidR="00340F59">
              <w:t xml:space="preserve"> the</w:t>
            </w:r>
            <w:r w:rsidR="0083268D">
              <w:t xml:space="preserve"> property's</w:t>
            </w:r>
            <w:r>
              <w:t xml:space="preserve"> ownership automatically reverts to </w:t>
            </w:r>
            <w:r w:rsidRPr="00ED4F98">
              <w:t>TDCJ</w:t>
            </w:r>
            <w:r w:rsidR="0095726F">
              <w:t xml:space="preserve"> </w:t>
            </w:r>
            <w:r w:rsidR="0095726F" w:rsidRPr="0095726F">
              <w:t>if the city uses the property for any other purpose</w:t>
            </w:r>
            <w:r>
              <w:t>.</w:t>
            </w:r>
          </w:p>
          <w:p w14:paraId="2D1D88A0" w14:textId="77777777" w:rsidR="00ED4F98" w:rsidRDefault="00ED4F98" w:rsidP="00CF6E31">
            <w:pPr>
              <w:pStyle w:val="Header"/>
              <w:jc w:val="both"/>
            </w:pPr>
          </w:p>
          <w:p w14:paraId="624F0517" w14:textId="764F6E7B" w:rsidR="00ED4F98" w:rsidRPr="009C36CD" w:rsidRDefault="00BD58FA" w:rsidP="00CF6E31">
            <w:pPr>
              <w:pStyle w:val="Header"/>
              <w:jc w:val="both"/>
            </w:pPr>
            <w:r>
              <w:t xml:space="preserve">C.S.H.B. 3570 requires </w:t>
            </w:r>
            <w:r w:rsidRPr="00ED4F98">
              <w:t>TDCJ</w:t>
            </w:r>
            <w:r>
              <w:t xml:space="preserve"> to transfer the property by an appropriate instrument of transfer which must provide </w:t>
            </w:r>
            <w:r w:rsidR="0083268D">
              <w:t>for that restricted use and automatic reversion</w:t>
            </w:r>
            <w:r>
              <w:t>.</w:t>
            </w:r>
            <w:r w:rsidR="0083268D">
              <w:t xml:space="preserve"> </w:t>
            </w:r>
            <w:r w:rsidR="0095726F">
              <w:t xml:space="preserve">The bill requires </w:t>
            </w:r>
            <w:r w:rsidR="0095726F" w:rsidRPr="0095726F">
              <w:t>TDCJ</w:t>
            </w:r>
            <w:r w:rsidR="0095726F">
              <w:t xml:space="preserve"> to</w:t>
            </w:r>
            <w:r>
              <w:t xml:space="preserve"> retain custody of the instrument of transfer </w:t>
            </w:r>
            <w:r w:rsidR="0095726F">
              <w:t>after the instrument</w:t>
            </w:r>
            <w:r>
              <w:t xml:space="preserve"> is filed in the real property records of Burnet County.</w:t>
            </w:r>
          </w:p>
          <w:p w14:paraId="0C8336D3" w14:textId="77777777" w:rsidR="008423E4" w:rsidRPr="00835628" w:rsidRDefault="008423E4" w:rsidP="00CF6E31">
            <w:pPr>
              <w:rPr>
                <w:b/>
              </w:rPr>
            </w:pPr>
          </w:p>
        </w:tc>
      </w:tr>
      <w:tr w:rsidR="00EF5BCF" w14:paraId="5D0C36F4" w14:textId="77777777" w:rsidTr="00345119">
        <w:tc>
          <w:tcPr>
            <w:tcW w:w="9576" w:type="dxa"/>
          </w:tcPr>
          <w:p w14:paraId="09B3D9BE" w14:textId="77777777" w:rsidR="008423E4" w:rsidRPr="00A8133F" w:rsidRDefault="00BD58FA" w:rsidP="00CF6E3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3B502EC" w14:textId="77777777" w:rsidR="008423E4" w:rsidRDefault="008423E4" w:rsidP="00CF6E31"/>
          <w:p w14:paraId="623DFAB6" w14:textId="77777777" w:rsidR="008423E4" w:rsidRPr="003624F2" w:rsidRDefault="00BD58FA" w:rsidP="00CF6E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7EC8164B" w14:textId="77777777" w:rsidR="008423E4" w:rsidRPr="00233FDB" w:rsidRDefault="008423E4" w:rsidP="00CF6E31">
            <w:pPr>
              <w:rPr>
                <w:b/>
              </w:rPr>
            </w:pPr>
          </w:p>
        </w:tc>
      </w:tr>
      <w:tr w:rsidR="00EF5BCF" w14:paraId="4A31C39B" w14:textId="77777777" w:rsidTr="00345119">
        <w:tc>
          <w:tcPr>
            <w:tcW w:w="9576" w:type="dxa"/>
          </w:tcPr>
          <w:p w14:paraId="38A50449" w14:textId="77777777" w:rsidR="00631A9E" w:rsidRDefault="00BD58FA" w:rsidP="00CF6E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DA22F99" w14:textId="77777777" w:rsidR="00474F99" w:rsidRPr="00CF6E31" w:rsidRDefault="00474F99" w:rsidP="00CF6E31">
            <w:pPr>
              <w:jc w:val="both"/>
              <w:rPr>
                <w:sz w:val="22"/>
                <w:szCs w:val="22"/>
              </w:rPr>
            </w:pPr>
          </w:p>
          <w:p w14:paraId="4208DA92" w14:textId="77777777" w:rsidR="00474F99" w:rsidRDefault="00BD58FA" w:rsidP="00CF6E31">
            <w:pPr>
              <w:jc w:val="both"/>
            </w:pPr>
            <w:r>
              <w:t xml:space="preserve">While C.S.H.B. 3570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14:paraId="68B5F2A5" w14:textId="7C227978" w:rsidR="00474F99" w:rsidRPr="00CF6E31" w:rsidRDefault="00474F99" w:rsidP="00CF6E31">
            <w:pPr>
              <w:jc w:val="both"/>
              <w:rPr>
                <w:sz w:val="22"/>
                <w:szCs w:val="22"/>
              </w:rPr>
            </w:pPr>
          </w:p>
          <w:p w14:paraId="289A801E" w14:textId="4A9A9DBD" w:rsidR="00474F99" w:rsidRPr="00474F99" w:rsidRDefault="00BD58FA" w:rsidP="00CF6E31">
            <w:pPr>
              <w:jc w:val="both"/>
            </w:pPr>
            <w:r>
              <w:t>The substitute differs from the original in the description of the transferred property.</w:t>
            </w:r>
          </w:p>
        </w:tc>
      </w:tr>
      <w:tr w:rsidR="00EF5BCF" w14:paraId="506D9D1A" w14:textId="77777777" w:rsidTr="00345119">
        <w:tc>
          <w:tcPr>
            <w:tcW w:w="9576" w:type="dxa"/>
          </w:tcPr>
          <w:p w14:paraId="722A00CD" w14:textId="77777777" w:rsidR="00631A9E" w:rsidRPr="00CF6E31" w:rsidRDefault="00631A9E" w:rsidP="00CF6E31">
            <w:pPr>
              <w:rPr>
                <w:b/>
                <w:sz w:val="2"/>
                <w:szCs w:val="2"/>
                <w:u w:val="single"/>
              </w:rPr>
            </w:pPr>
          </w:p>
        </w:tc>
      </w:tr>
      <w:tr w:rsidR="00EF5BCF" w14:paraId="222FEDD1" w14:textId="77777777" w:rsidTr="00345119">
        <w:tc>
          <w:tcPr>
            <w:tcW w:w="9576" w:type="dxa"/>
          </w:tcPr>
          <w:p w14:paraId="1830C630" w14:textId="77777777" w:rsidR="00631A9E" w:rsidRPr="00631A9E" w:rsidRDefault="00631A9E" w:rsidP="00CF6E31">
            <w:pPr>
              <w:jc w:val="both"/>
            </w:pPr>
          </w:p>
        </w:tc>
      </w:tr>
    </w:tbl>
    <w:p w14:paraId="23C31E41" w14:textId="77777777" w:rsidR="008423E4" w:rsidRPr="00CF6E31" w:rsidRDefault="008423E4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14:paraId="0F6C675A" w14:textId="77777777" w:rsidR="004108C3" w:rsidRPr="00CF6E31" w:rsidRDefault="004108C3" w:rsidP="008423E4">
      <w:pPr>
        <w:rPr>
          <w:sz w:val="2"/>
          <w:szCs w:val="2"/>
        </w:rPr>
      </w:pPr>
    </w:p>
    <w:sectPr w:rsidR="004108C3" w:rsidRPr="00CF6E31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BBEA7" w14:textId="77777777" w:rsidR="00000000" w:rsidRDefault="00BD58FA">
      <w:r>
        <w:separator/>
      </w:r>
    </w:p>
  </w:endnote>
  <w:endnote w:type="continuationSeparator" w:id="0">
    <w:p w14:paraId="7462E391" w14:textId="77777777" w:rsidR="00000000" w:rsidRDefault="00BD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E3DB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F5BCF" w14:paraId="7C8B1C16" w14:textId="77777777" w:rsidTr="009C1E9A">
      <w:trPr>
        <w:cantSplit/>
      </w:trPr>
      <w:tc>
        <w:tcPr>
          <w:tcW w:w="0" w:type="pct"/>
        </w:tcPr>
        <w:p w14:paraId="1AF34D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FDB1B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997319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572B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31D77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5BCF" w14:paraId="1C2EAD56" w14:textId="77777777" w:rsidTr="009C1E9A">
      <w:trPr>
        <w:cantSplit/>
      </w:trPr>
      <w:tc>
        <w:tcPr>
          <w:tcW w:w="0" w:type="pct"/>
        </w:tcPr>
        <w:p w14:paraId="7FC185E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E3AF052" w14:textId="77777777" w:rsidR="00EC379B" w:rsidRPr="009C1E9A" w:rsidRDefault="00BD58F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21135</w:t>
          </w:r>
        </w:p>
      </w:tc>
      <w:tc>
        <w:tcPr>
          <w:tcW w:w="2453" w:type="pct"/>
        </w:tcPr>
        <w:p w14:paraId="762247F0" w14:textId="286AA96B" w:rsidR="00EC379B" w:rsidRDefault="00BD58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2549E">
            <w:t>21.110.763</w:t>
          </w:r>
          <w:r>
            <w:fldChar w:fldCharType="end"/>
          </w:r>
        </w:p>
      </w:tc>
    </w:tr>
    <w:tr w:rsidR="00EF5BCF" w14:paraId="6464797B" w14:textId="77777777" w:rsidTr="009C1E9A">
      <w:trPr>
        <w:cantSplit/>
      </w:trPr>
      <w:tc>
        <w:tcPr>
          <w:tcW w:w="0" w:type="pct"/>
        </w:tcPr>
        <w:p w14:paraId="45BC8C7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6685DA" w14:textId="77777777" w:rsidR="00EC379B" w:rsidRPr="009C1E9A" w:rsidRDefault="00BD58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18814</w:t>
          </w:r>
        </w:p>
      </w:tc>
      <w:tc>
        <w:tcPr>
          <w:tcW w:w="2453" w:type="pct"/>
        </w:tcPr>
        <w:p w14:paraId="1129F25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143782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5BCF" w14:paraId="2B03597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D95484F" w14:textId="0EC90DCA" w:rsidR="00EC379B" w:rsidRDefault="00BD58F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F6E3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303FCB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A8CFC2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5E2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AD4E4" w14:textId="77777777" w:rsidR="00000000" w:rsidRDefault="00BD58FA">
      <w:r>
        <w:separator/>
      </w:r>
    </w:p>
  </w:footnote>
  <w:footnote w:type="continuationSeparator" w:id="0">
    <w:p w14:paraId="5256E4E9" w14:textId="77777777" w:rsidR="00000000" w:rsidRDefault="00BD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A226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F3E7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694F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784"/>
    <w:multiLevelType w:val="hybridMultilevel"/>
    <w:tmpl w:val="225EF156"/>
    <w:lvl w:ilvl="0" w:tplc="1D0CA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2F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0F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6B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A8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6CE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A1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E3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9C8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F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021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4F99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58BD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76B8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0F1C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1A9E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60D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4ECC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268D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12A"/>
    <w:rsid w:val="009418E9"/>
    <w:rsid w:val="00946044"/>
    <w:rsid w:val="009465AB"/>
    <w:rsid w:val="00946DEE"/>
    <w:rsid w:val="00953499"/>
    <w:rsid w:val="00954A16"/>
    <w:rsid w:val="0095696D"/>
    <w:rsid w:val="0095726F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372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8FA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0A33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1235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E31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549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C72"/>
    <w:rsid w:val="00D947B6"/>
    <w:rsid w:val="00D97E00"/>
    <w:rsid w:val="00DA00BC"/>
    <w:rsid w:val="00DA0E22"/>
    <w:rsid w:val="00DA1C67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F98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5BCF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D46A5E-8749-4C09-8669-11348B13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572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72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72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7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7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1886</Characters>
  <Application>Microsoft Office Word</Application>
  <DocSecurity>4</DocSecurity>
  <Lines>58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HB03570 (Committee Report (Substituted))</vt:lpstr>
    </vt:vector>
  </TitlesOfParts>
  <Company>State of Texas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21135</dc:subject>
  <dc:creator>State of Texas</dc:creator>
  <dc:description>HB 3570 by Wilson-(H)Land &amp; Resource Management (Substitute Document Number: 87R 18814)</dc:description>
  <cp:lastModifiedBy>Lauren Bustamente</cp:lastModifiedBy>
  <cp:revision>2</cp:revision>
  <cp:lastPrinted>2003-11-26T17:21:00Z</cp:lastPrinted>
  <dcterms:created xsi:type="dcterms:W3CDTF">2021-04-21T21:55:00Z</dcterms:created>
  <dcterms:modified xsi:type="dcterms:W3CDTF">2021-04-21T21:55:00Z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21.110.763</vt:lpwstr>
  </property>
</Properties>
</file>