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5249A" w14:paraId="0FC66E74" w14:textId="77777777" w:rsidTr="00345119">
        <w:tc>
          <w:tcPr>
            <w:tcW w:w="9576" w:type="dxa"/>
            <w:noWrap/>
          </w:tcPr>
          <w:p w14:paraId="41F93080" w14:textId="77777777" w:rsidR="008423E4" w:rsidRPr="0022177D" w:rsidRDefault="004C6423" w:rsidP="0096028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A880459" w14:textId="77777777" w:rsidR="008423E4" w:rsidRPr="0022177D" w:rsidRDefault="008423E4" w:rsidP="0096028A">
      <w:pPr>
        <w:jc w:val="center"/>
      </w:pPr>
    </w:p>
    <w:p w14:paraId="5F1BAA9D" w14:textId="77777777" w:rsidR="008423E4" w:rsidRPr="00B31F0E" w:rsidRDefault="008423E4" w:rsidP="0096028A"/>
    <w:p w14:paraId="436D3289" w14:textId="77777777" w:rsidR="008423E4" w:rsidRPr="00742794" w:rsidRDefault="008423E4" w:rsidP="0096028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5249A" w14:paraId="45E0C1E6" w14:textId="77777777" w:rsidTr="00345119">
        <w:tc>
          <w:tcPr>
            <w:tcW w:w="9576" w:type="dxa"/>
          </w:tcPr>
          <w:p w14:paraId="4F388204" w14:textId="291978A6" w:rsidR="008423E4" w:rsidRPr="00861995" w:rsidRDefault="004C6423" w:rsidP="0096028A">
            <w:pPr>
              <w:jc w:val="right"/>
            </w:pPr>
            <w:r>
              <w:t>C.S.H.B. 3615</w:t>
            </w:r>
          </w:p>
        </w:tc>
      </w:tr>
      <w:tr w:rsidR="0095249A" w14:paraId="4AC5BBB1" w14:textId="77777777" w:rsidTr="00345119">
        <w:tc>
          <w:tcPr>
            <w:tcW w:w="9576" w:type="dxa"/>
          </w:tcPr>
          <w:p w14:paraId="5A7B645A" w14:textId="30402DA3" w:rsidR="008423E4" w:rsidRPr="00861995" w:rsidRDefault="004C6423" w:rsidP="00621CF0">
            <w:pPr>
              <w:jc w:val="right"/>
            </w:pPr>
            <w:r>
              <w:t xml:space="preserve">By: </w:t>
            </w:r>
            <w:r w:rsidR="00621CF0">
              <w:t>King, Phil</w:t>
            </w:r>
          </w:p>
        </w:tc>
      </w:tr>
      <w:tr w:rsidR="0095249A" w14:paraId="08225068" w14:textId="77777777" w:rsidTr="00345119">
        <w:tc>
          <w:tcPr>
            <w:tcW w:w="9576" w:type="dxa"/>
          </w:tcPr>
          <w:p w14:paraId="1EBE5DD4" w14:textId="34E84E15" w:rsidR="008423E4" w:rsidRPr="00861995" w:rsidRDefault="004C6423" w:rsidP="0096028A">
            <w:pPr>
              <w:jc w:val="right"/>
            </w:pPr>
            <w:r>
              <w:t>State Affairs</w:t>
            </w:r>
          </w:p>
        </w:tc>
      </w:tr>
      <w:tr w:rsidR="0095249A" w14:paraId="0ED24F0C" w14:textId="77777777" w:rsidTr="00345119">
        <w:tc>
          <w:tcPr>
            <w:tcW w:w="9576" w:type="dxa"/>
          </w:tcPr>
          <w:p w14:paraId="277356B6" w14:textId="04FF541E" w:rsidR="008423E4" w:rsidRDefault="004C6423" w:rsidP="0096028A">
            <w:pPr>
              <w:jc w:val="right"/>
            </w:pPr>
            <w:r>
              <w:t>Committee Report (Substituted)</w:t>
            </w:r>
          </w:p>
        </w:tc>
      </w:tr>
    </w:tbl>
    <w:p w14:paraId="352F4B6A" w14:textId="77777777" w:rsidR="008423E4" w:rsidRDefault="008423E4" w:rsidP="0096028A">
      <w:pPr>
        <w:tabs>
          <w:tab w:val="right" w:pos="9360"/>
        </w:tabs>
      </w:pPr>
    </w:p>
    <w:p w14:paraId="726CE2FE" w14:textId="77777777" w:rsidR="008423E4" w:rsidRDefault="008423E4" w:rsidP="0096028A"/>
    <w:p w14:paraId="564D2109" w14:textId="77777777" w:rsidR="008423E4" w:rsidRDefault="008423E4" w:rsidP="0096028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5249A" w14:paraId="2B35C91C" w14:textId="77777777" w:rsidTr="00345119">
        <w:tc>
          <w:tcPr>
            <w:tcW w:w="9576" w:type="dxa"/>
          </w:tcPr>
          <w:p w14:paraId="67F92C5C" w14:textId="77777777" w:rsidR="008423E4" w:rsidRPr="00A8133F" w:rsidRDefault="004C6423" w:rsidP="0096028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D27BA4F" w14:textId="77777777" w:rsidR="008423E4" w:rsidRDefault="008423E4" w:rsidP="0096028A"/>
          <w:p w14:paraId="4F5D747A" w14:textId="440BE649" w:rsidR="008423E4" w:rsidRDefault="004C6423" w:rsidP="0096028A">
            <w:pPr>
              <w:jc w:val="both"/>
            </w:pPr>
            <w:r>
              <w:t>Some municipally owned</w:t>
            </w:r>
            <w:r w:rsidR="0047595A" w:rsidRPr="0047595A">
              <w:t xml:space="preserve"> electric utilit</w:t>
            </w:r>
            <w:r>
              <w:t>ies</w:t>
            </w:r>
            <w:r w:rsidR="0047595A" w:rsidRPr="0047595A">
              <w:t xml:space="preserve"> may operate a </w:t>
            </w:r>
            <w:r w:rsidR="007F7579">
              <w:t>program</w:t>
            </w:r>
            <w:r w:rsidR="0047595A" w:rsidRPr="0047595A">
              <w:t xml:space="preserve"> to provide chilled water to large electric customers to reduce peak electric demand and shift electric load.  </w:t>
            </w:r>
            <w:r w:rsidR="0050552E">
              <w:t>For a municipally owned,</w:t>
            </w:r>
            <w:r w:rsidR="0047595A" w:rsidRPr="0047595A">
              <w:t xml:space="preserve"> vertically integrated regulated utility, the rates paid for electricity and related chilled water services should be part of a formal ratemaking process to ensure that rates are reasonable and necessary and applied to customers in a nondiscriminatory manner.</w:t>
            </w:r>
            <w:r w:rsidR="0047595A">
              <w:t xml:space="preserve"> </w:t>
            </w:r>
            <w:r w:rsidR="0047595A" w:rsidRPr="0047595A">
              <w:t>C</w:t>
            </w:r>
            <w:r w:rsidR="000F1F45">
              <w:t>.</w:t>
            </w:r>
            <w:r w:rsidR="0047595A" w:rsidRPr="0047595A">
              <w:t>S</w:t>
            </w:r>
            <w:r w:rsidR="000F1F45">
              <w:t>.</w:t>
            </w:r>
            <w:r w:rsidR="0047595A" w:rsidRPr="0047595A">
              <w:t>H</w:t>
            </w:r>
            <w:r w:rsidR="000F1F45">
              <w:t>.</w:t>
            </w:r>
            <w:r w:rsidR="0047595A" w:rsidRPr="0047595A">
              <w:t>B</w:t>
            </w:r>
            <w:r w:rsidR="000F1F45">
              <w:t>.</w:t>
            </w:r>
            <w:r w:rsidR="001B4F42">
              <w:t> </w:t>
            </w:r>
            <w:r w:rsidR="0047595A" w:rsidRPr="0047595A">
              <w:t xml:space="preserve">3615 </w:t>
            </w:r>
            <w:r w:rsidR="000F1F45">
              <w:t xml:space="preserve">seeks to increase transparency by </w:t>
            </w:r>
            <w:r>
              <w:t xml:space="preserve">ensuring that </w:t>
            </w:r>
            <w:r w:rsidR="000F1F45">
              <w:t>information and records relating to a municipally owned utility's rate review process and the method for setting rates for retail electric service and a chilled water program</w:t>
            </w:r>
            <w:r>
              <w:t xml:space="preserve"> are available to the</w:t>
            </w:r>
            <w:r w:rsidR="000F1F45">
              <w:t xml:space="preserve"> public.</w:t>
            </w:r>
            <w:r w:rsidR="0047595A" w:rsidRPr="0047595A">
              <w:t xml:space="preserve"> </w:t>
            </w:r>
          </w:p>
          <w:p w14:paraId="5DCD6202" w14:textId="1FAD1DD0" w:rsidR="00403A35" w:rsidRPr="00E26B13" w:rsidRDefault="00403A35" w:rsidP="0096028A">
            <w:pPr>
              <w:jc w:val="both"/>
              <w:rPr>
                <w:b/>
              </w:rPr>
            </w:pPr>
          </w:p>
        </w:tc>
      </w:tr>
      <w:tr w:rsidR="0095249A" w14:paraId="48A18294" w14:textId="77777777" w:rsidTr="00345119">
        <w:tc>
          <w:tcPr>
            <w:tcW w:w="9576" w:type="dxa"/>
          </w:tcPr>
          <w:p w14:paraId="4970FD9B" w14:textId="77777777" w:rsidR="0017725B" w:rsidRDefault="004C6423" w:rsidP="009602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EBDF343" w14:textId="77777777" w:rsidR="0017725B" w:rsidRDefault="0017725B" w:rsidP="0096028A">
            <w:pPr>
              <w:rPr>
                <w:b/>
                <w:u w:val="single"/>
              </w:rPr>
            </w:pPr>
          </w:p>
          <w:p w14:paraId="2829FD8D" w14:textId="77777777" w:rsidR="004F624C" w:rsidRPr="004F624C" w:rsidRDefault="004C6423" w:rsidP="0096028A">
            <w:pPr>
              <w:jc w:val="both"/>
            </w:pPr>
            <w:r>
              <w:t>It is the committee's opinion that this bill does not expressly create a crimin</w:t>
            </w:r>
            <w:r>
              <w:t>al offense, increase the punishment for an existing criminal offense or category of offenses, or change the eligibility of a person for community supervision, parole, or mandatory supervision.</w:t>
            </w:r>
          </w:p>
          <w:p w14:paraId="6DF0C424" w14:textId="77777777" w:rsidR="0017725B" w:rsidRPr="0017725B" w:rsidRDefault="0017725B" w:rsidP="0096028A">
            <w:pPr>
              <w:rPr>
                <w:b/>
                <w:u w:val="single"/>
              </w:rPr>
            </w:pPr>
          </w:p>
        </w:tc>
      </w:tr>
      <w:tr w:rsidR="0095249A" w14:paraId="69FB5FCA" w14:textId="77777777" w:rsidTr="00345119">
        <w:tc>
          <w:tcPr>
            <w:tcW w:w="9576" w:type="dxa"/>
          </w:tcPr>
          <w:p w14:paraId="771B3803" w14:textId="77777777" w:rsidR="008423E4" w:rsidRPr="00A8133F" w:rsidRDefault="004C6423" w:rsidP="0096028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A40B988" w14:textId="77777777" w:rsidR="008423E4" w:rsidRDefault="008423E4" w:rsidP="0096028A"/>
          <w:p w14:paraId="501A8CB8" w14:textId="77777777" w:rsidR="004F624C" w:rsidRDefault="004C6423" w:rsidP="009602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14:paraId="2595416B" w14:textId="77777777" w:rsidR="008423E4" w:rsidRPr="00E21FDC" w:rsidRDefault="008423E4" w:rsidP="0096028A">
            <w:pPr>
              <w:rPr>
                <w:b/>
              </w:rPr>
            </w:pPr>
          </w:p>
        </w:tc>
      </w:tr>
      <w:tr w:rsidR="0095249A" w14:paraId="770D82FD" w14:textId="77777777" w:rsidTr="00345119">
        <w:tc>
          <w:tcPr>
            <w:tcW w:w="9576" w:type="dxa"/>
          </w:tcPr>
          <w:p w14:paraId="6B96B1E1" w14:textId="77777777" w:rsidR="008423E4" w:rsidRPr="00A8133F" w:rsidRDefault="004C6423" w:rsidP="0096028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F32FB5A" w14:textId="77777777" w:rsidR="008423E4" w:rsidRDefault="008423E4" w:rsidP="0096028A"/>
          <w:p w14:paraId="31E173DA" w14:textId="41590761" w:rsidR="009C36CD" w:rsidRDefault="004C6423" w:rsidP="0096028A">
            <w:pPr>
              <w:pStyle w:val="Header"/>
              <w:jc w:val="both"/>
            </w:pPr>
            <w:r>
              <w:t>C.S.</w:t>
            </w:r>
            <w:r w:rsidR="00CA0331">
              <w:t xml:space="preserve">H.B. 3615 amends the Government Code to exclude information related to a </w:t>
            </w:r>
            <w:r w:rsidR="000F1F45">
              <w:t xml:space="preserve">public power </w:t>
            </w:r>
            <w:r w:rsidR="00CA0331">
              <w:t xml:space="preserve">utility's chilled water program </w:t>
            </w:r>
            <w:r w:rsidR="004F624C">
              <w:t xml:space="preserve"> </w:t>
            </w:r>
            <w:r w:rsidR="00CA0331">
              <w:t xml:space="preserve">from the </w:t>
            </w:r>
            <w:r w:rsidR="007D213A">
              <w:t xml:space="preserve">public power </w:t>
            </w:r>
            <w:r w:rsidR="00CA0331">
              <w:t>utility competitive matter</w:t>
            </w:r>
            <w:r w:rsidR="007D213A">
              <w:t>s</w:t>
            </w:r>
            <w:r w:rsidR="00CA0331">
              <w:t xml:space="preserve"> except</w:t>
            </w:r>
            <w:r w:rsidR="007D213A">
              <w:t>ion to public disclosure</w:t>
            </w:r>
            <w:r w:rsidR="00CA0331">
              <w:t xml:space="preserve"> </w:t>
            </w:r>
            <w:r w:rsidR="007D213A">
              <w:t>under</w:t>
            </w:r>
            <w:r w:rsidR="00CA0331">
              <w:t xml:space="preserve"> state public information law.</w:t>
            </w:r>
            <w:r w:rsidR="004F624C">
              <w:t xml:space="preserve"> The bill subjects information or records reasonably related to any of the following to disclosure under state public information law:</w:t>
            </w:r>
          </w:p>
          <w:p w14:paraId="312648F7" w14:textId="77777777" w:rsidR="004F624C" w:rsidRDefault="004C6423" w:rsidP="0096028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municipally owned utility's rate review process;</w:t>
            </w:r>
          </w:p>
          <w:p w14:paraId="24C9EC3F" w14:textId="45985121" w:rsidR="004F624C" w:rsidRDefault="004C6423" w:rsidP="0096028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method a municipality or municipally owned utility uses to set rates for </w:t>
            </w:r>
            <w:r w:rsidR="003E7159">
              <w:t xml:space="preserve">retail </w:t>
            </w:r>
            <w:r>
              <w:t>electric service; or</w:t>
            </w:r>
          </w:p>
          <w:p w14:paraId="7178EF6C" w14:textId="3C7BBEBB" w:rsidR="004F624C" w:rsidRPr="009C36CD" w:rsidRDefault="004C6423" w:rsidP="0096028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method a municipality or municipally owned utility uses to set rates for</w:t>
            </w:r>
            <w:r w:rsidR="00D02A55">
              <w:t xml:space="preserve"> a</w:t>
            </w:r>
            <w:r>
              <w:t xml:space="preserve"> chilled water pro</w:t>
            </w:r>
            <w:r>
              <w:t>gram.</w:t>
            </w:r>
          </w:p>
          <w:p w14:paraId="575A7A14" w14:textId="77777777" w:rsidR="00332008" w:rsidRDefault="00332008" w:rsidP="0096028A"/>
          <w:p w14:paraId="004E0180" w14:textId="44568300" w:rsidR="008423E4" w:rsidRDefault="004C6423" w:rsidP="007D213A">
            <w:pPr>
              <w:jc w:val="both"/>
              <w:rPr>
                <w:b/>
              </w:rPr>
            </w:pPr>
            <w:r>
              <w:t xml:space="preserve">C.S.H.B. 3615 amends the Utilities Code to define "chilled water program" </w:t>
            </w:r>
            <w:r w:rsidR="007D213A">
              <w:t>as a program to produce chilled water at a central plant and pipe that water to buildings for air conditioning, including a district cooling system or chill</w:t>
            </w:r>
            <w:r w:rsidR="000D5344">
              <w:t xml:space="preserve">ed water service or </w:t>
            </w:r>
            <w:r w:rsidR="007D213A">
              <w:t xml:space="preserve">any other program designed to use chilled water to provide air conditioning, </w:t>
            </w:r>
            <w:r w:rsidR="000D5344">
              <w:t>reduce peak</w:t>
            </w:r>
            <w:r w:rsidR="007D213A">
              <w:t xml:space="preserve"> electric demand</w:t>
            </w:r>
            <w:r w:rsidR="000D5344">
              <w:t>,</w:t>
            </w:r>
            <w:r w:rsidR="007D213A">
              <w:t xml:space="preserve"> or shift electric load.</w:t>
            </w:r>
            <w:r w:rsidR="000D5344">
              <w:t xml:space="preserve"> The bill </w:t>
            </w:r>
            <w:r>
              <w:t>clarif</w:t>
            </w:r>
            <w:r w:rsidR="000D5344">
              <w:t>ies</w:t>
            </w:r>
            <w:r>
              <w:t xml:space="preserve"> that a "municipally owned utility" includes such a program operated by the utility.</w:t>
            </w:r>
          </w:p>
          <w:p w14:paraId="4785E776" w14:textId="17CD1915" w:rsidR="003F5877" w:rsidRPr="00835628" w:rsidRDefault="003F5877" w:rsidP="0096028A">
            <w:pPr>
              <w:rPr>
                <w:b/>
              </w:rPr>
            </w:pPr>
          </w:p>
        </w:tc>
      </w:tr>
      <w:tr w:rsidR="0095249A" w14:paraId="47EAB0A2" w14:textId="77777777" w:rsidTr="00345119">
        <w:tc>
          <w:tcPr>
            <w:tcW w:w="9576" w:type="dxa"/>
          </w:tcPr>
          <w:p w14:paraId="5C671E0B" w14:textId="77777777" w:rsidR="008423E4" w:rsidRPr="00A8133F" w:rsidRDefault="004C6423" w:rsidP="0096028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AF868D4" w14:textId="77777777" w:rsidR="008423E4" w:rsidRDefault="008423E4" w:rsidP="0096028A"/>
          <w:p w14:paraId="26DA8F3E" w14:textId="77777777" w:rsidR="008423E4" w:rsidRPr="003624F2" w:rsidRDefault="004C6423" w:rsidP="009602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9B60BAD" w14:textId="77777777" w:rsidR="008423E4" w:rsidRPr="00233FDB" w:rsidRDefault="008423E4" w:rsidP="0096028A">
            <w:pPr>
              <w:rPr>
                <w:b/>
              </w:rPr>
            </w:pPr>
          </w:p>
        </w:tc>
      </w:tr>
      <w:tr w:rsidR="0095249A" w14:paraId="57EFCCC3" w14:textId="77777777" w:rsidTr="00345119">
        <w:tc>
          <w:tcPr>
            <w:tcW w:w="9576" w:type="dxa"/>
          </w:tcPr>
          <w:p w14:paraId="6E2053DA" w14:textId="77777777" w:rsidR="00621CF0" w:rsidRDefault="004C6423" w:rsidP="00621CF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966CDBE" w14:textId="05CB9503" w:rsidR="00383A4E" w:rsidRPr="00621CF0" w:rsidRDefault="00383A4E" w:rsidP="00621CF0">
            <w:pPr>
              <w:jc w:val="both"/>
              <w:rPr>
                <w:b/>
                <w:u w:val="single"/>
              </w:rPr>
            </w:pPr>
          </w:p>
        </w:tc>
      </w:tr>
      <w:tr w:rsidR="0095249A" w14:paraId="1F8F2C48" w14:textId="77777777" w:rsidTr="00345119">
        <w:tc>
          <w:tcPr>
            <w:tcW w:w="9576" w:type="dxa"/>
          </w:tcPr>
          <w:p w14:paraId="1DEB6AF7" w14:textId="77777777" w:rsidR="00786EEB" w:rsidRDefault="004C6423" w:rsidP="00786EEB">
            <w:pPr>
              <w:jc w:val="both"/>
            </w:pPr>
            <w:r>
              <w:t xml:space="preserve">While C.S.H.B. 3615 may differ from the original in minor or nonsubstantive ways, the following summarizes the substantial differences between the introduced and committee substitute versions of </w:t>
            </w:r>
            <w:r>
              <w:t>the bill.</w:t>
            </w:r>
          </w:p>
          <w:p w14:paraId="6B7355E7" w14:textId="68EAC53D" w:rsidR="00786EEB" w:rsidRDefault="00786EEB" w:rsidP="00786EEB">
            <w:pPr>
              <w:jc w:val="both"/>
            </w:pPr>
          </w:p>
          <w:p w14:paraId="05FC9F2B" w14:textId="347FC103" w:rsidR="00786EEB" w:rsidRDefault="004C6423" w:rsidP="00786EEB">
            <w:pPr>
              <w:jc w:val="both"/>
            </w:pPr>
            <w:r>
              <w:t>The substitute includes a definition for "chilled water program" to replace the definition for "district cooling system" in the original.</w:t>
            </w:r>
            <w:r w:rsidR="009C3BE0">
              <w:t xml:space="preserve"> </w:t>
            </w:r>
            <w:r>
              <w:t>The substitute expands the definition to encompass all chilled water programs, which are inclusive of distr</w:t>
            </w:r>
            <w:r>
              <w:t>ict cooling systems, rather than only pertaining to district cooling systems as in the original.</w:t>
            </w:r>
          </w:p>
          <w:p w14:paraId="4772F62F" w14:textId="77777777" w:rsidR="00786EEB" w:rsidRDefault="00786EEB" w:rsidP="00786EEB">
            <w:pPr>
              <w:jc w:val="both"/>
            </w:pPr>
          </w:p>
          <w:p w14:paraId="205B4071" w14:textId="7C43A6AE" w:rsidR="00786EEB" w:rsidRDefault="004C6423" w:rsidP="00786EEB">
            <w:pPr>
              <w:jc w:val="both"/>
            </w:pPr>
            <w:r>
              <w:t>The substitute moves language in the original to a new statutory provision and revises the language to clarify that information related to a municipally owned</w:t>
            </w:r>
            <w:r>
              <w:t xml:space="preserve"> utility’s rate review process, the method used to set electric rates, and the method used to set chilled water rates is all subject to public disclosure.</w:t>
            </w:r>
          </w:p>
          <w:p w14:paraId="67C400F2" w14:textId="77777777" w:rsidR="00786EEB" w:rsidRDefault="00786EEB" w:rsidP="00786EEB">
            <w:pPr>
              <w:jc w:val="both"/>
            </w:pPr>
          </w:p>
          <w:p w14:paraId="65653235" w14:textId="77777777" w:rsidR="00786EEB" w:rsidRDefault="004C6423" w:rsidP="00786EEB">
            <w:pPr>
              <w:jc w:val="both"/>
            </w:pPr>
            <w:r>
              <w:t>The substitute includes a procedural provision related to the prospective application of its provisi</w:t>
            </w:r>
            <w:r>
              <w:t>ons to public information requests.</w:t>
            </w:r>
          </w:p>
          <w:p w14:paraId="4B629231" w14:textId="77777777" w:rsidR="00764354" w:rsidRPr="009C1E9A" w:rsidRDefault="00764354" w:rsidP="0096028A">
            <w:pPr>
              <w:rPr>
                <w:b/>
                <w:u w:val="single"/>
              </w:rPr>
            </w:pPr>
          </w:p>
        </w:tc>
      </w:tr>
      <w:tr w:rsidR="0095249A" w14:paraId="25EE9722" w14:textId="77777777" w:rsidTr="00345119">
        <w:tc>
          <w:tcPr>
            <w:tcW w:w="9576" w:type="dxa"/>
          </w:tcPr>
          <w:p w14:paraId="20B39F2F" w14:textId="77777777" w:rsidR="00764354" w:rsidRPr="00621CF0" w:rsidRDefault="00764354" w:rsidP="00621CF0">
            <w:pPr>
              <w:spacing w:line="480" w:lineRule="auto"/>
              <w:jc w:val="both"/>
            </w:pPr>
          </w:p>
        </w:tc>
      </w:tr>
      <w:tr w:rsidR="0095249A" w14:paraId="55632BB8" w14:textId="77777777" w:rsidTr="00345119">
        <w:tc>
          <w:tcPr>
            <w:tcW w:w="9576" w:type="dxa"/>
          </w:tcPr>
          <w:p w14:paraId="47063D1C" w14:textId="77777777" w:rsidR="00621CF0" w:rsidRPr="00764354" w:rsidRDefault="00621CF0" w:rsidP="0096028A">
            <w:pPr>
              <w:jc w:val="both"/>
            </w:pPr>
          </w:p>
        </w:tc>
      </w:tr>
      <w:tr w:rsidR="0095249A" w14:paraId="71136121" w14:textId="77777777" w:rsidTr="00345119">
        <w:tc>
          <w:tcPr>
            <w:tcW w:w="9576" w:type="dxa"/>
          </w:tcPr>
          <w:p w14:paraId="4D2A7690" w14:textId="77777777" w:rsidR="00621CF0" w:rsidRPr="00764354" w:rsidRDefault="00621CF0" w:rsidP="0096028A">
            <w:pPr>
              <w:jc w:val="both"/>
            </w:pPr>
          </w:p>
        </w:tc>
      </w:tr>
      <w:tr w:rsidR="0095249A" w14:paraId="70841325" w14:textId="77777777" w:rsidTr="00345119">
        <w:tc>
          <w:tcPr>
            <w:tcW w:w="9576" w:type="dxa"/>
          </w:tcPr>
          <w:p w14:paraId="033056F1" w14:textId="77777777" w:rsidR="00621CF0" w:rsidRPr="00764354" w:rsidRDefault="00621CF0" w:rsidP="0096028A">
            <w:pPr>
              <w:jc w:val="both"/>
            </w:pPr>
          </w:p>
        </w:tc>
      </w:tr>
    </w:tbl>
    <w:p w14:paraId="118706F4" w14:textId="77777777" w:rsidR="008423E4" w:rsidRPr="00BE0E75" w:rsidRDefault="008423E4" w:rsidP="0096028A">
      <w:pPr>
        <w:jc w:val="both"/>
        <w:rPr>
          <w:rFonts w:ascii="Arial" w:hAnsi="Arial"/>
          <w:sz w:val="16"/>
          <w:szCs w:val="16"/>
        </w:rPr>
      </w:pPr>
    </w:p>
    <w:p w14:paraId="042278CA" w14:textId="77777777" w:rsidR="004108C3" w:rsidRPr="008423E4" w:rsidRDefault="004108C3" w:rsidP="0096028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0F768" w14:textId="77777777" w:rsidR="00000000" w:rsidRDefault="004C6423">
      <w:r>
        <w:separator/>
      </w:r>
    </w:p>
  </w:endnote>
  <w:endnote w:type="continuationSeparator" w:id="0">
    <w:p w14:paraId="4E4EBAEF" w14:textId="77777777" w:rsidR="00000000" w:rsidRDefault="004C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2B7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5249A" w14:paraId="61BB04DC" w14:textId="77777777" w:rsidTr="009C1E9A">
      <w:trPr>
        <w:cantSplit/>
      </w:trPr>
      <w:tc>
        <w:tcPr>
          <w:tcW w:w="0" w:type="pct"/>
        </w:tcPr>
        <w:p w14:paraId="53F467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22A1B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7E41D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B0C0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9E06CC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249A" w14:paraId="5E3D62A3" w14:textId="77777777" w:rsidTr="009C1E9A">
      <w:trPr>
        <w:cantSplit/>
      </w:trPr>
      <w:tc>
        <w:tcPr>
          <w:tcW w:w="0" w:type="pct"/>
        </w:tcPr>
        <w:p w14:paraId="5EB6469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BEBA18" w14:textId="391A3980" w:rsidR="00EC379B" w:rsidRPr="009C1E9A" w:rsidRDefault="004C64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19762</w:t>
          </w:r>
        </w:p>
      </w:tc>
      <w:tc>
        <w:tcPr>
          <w:tcW w:w="2453" w:type="pct"/>
        </w:tcPr>
        <w:p w14:paraId="5CF5D6C6" w14:textId="31E072F1" w:rsidR="00EC379B" w:rsidRDefault="004C64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F1655">
            <w:t>21.102.991</w:t>
          </w:r>
          <w:r>
            <w:fldChar w:fldCharType="end"/>
          </w:r>
        </w:p>
      </w:tc>
    </w:tr>
    <w:tr w:rsidR="0095249A" w14:paraId="219B55AD" w14:textId="77777777" w:rsidTr="009C1E9A">
      <w:trPr>
        <w:cantSplit/>
      </w:trPr>
      <w:tc>
        <w:tcPr>
          <w:tcW w:w="0" w:type="pct"/>
        </w:tcPr>
        <w:p w14:paraId="73FDF8F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1449E80" w14:textId="6BDC34BD" w:rsidR="00EC379B" w:rsidRPr="009C1E9A" w:rsidRDefault="004C64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17362</w:t>
          </w:r>
        </w:p>
      </w:tc>
      <w:tc>
        <w:tcPr>
          <w:tcW w:w="2453" w:type="pct"/>
        </w:tcPr>
        <w:p w14:paraId="70818A0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49A61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249A" w14:paraId="5612DA8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F329015" w14:textId="75BAE51E" w:rsidR="00EC379B" w:rsidRDefault="004C64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C3BE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1CE655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C55522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781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088EA" w14:textId="77777777" w:rsidR="00000000" w:rsidRDefault="004C6423">
      <w:r>
        <w:separator/>
      </w:r>
    </w:p>
  </w:footnote>
  <w:footnote w:type="continuationSeparator" w:id="0">
    <w:p w14:paraId="551A98EA" w14:textId="77777777" w:rsidR="00000000" w:rsidRDefault="004C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4F85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D87E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1F6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A6F72"/>
    <w:multiLevelType w:val="hybridMultilevel"/>
    <w:tmpl w:val="7572072C"/>
    <w:lvl w:ilvl="0" w:tplc="85020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01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46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AD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AE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0E6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8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8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CEE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3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83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5F2"/>
    <w:rsid w:val="000D3725"/>
    <w:rsid w:val="000D46E5"/>
    <w:rsid w:val="000D5344"/>
    <w:rsid w:val="000D769C"/>
    <w:rsid w:val="000E1976"/>
    <w:rsid w:val="000E20F1"/>
    <w:rsid w:val="000E5B20"/>
    <w:rsid w:val="000E7C14"/>
    <w:rsid w:val="000F094C"/>
    <w:rsid w:val="000F18A2"/>
    <w:rsid w:val="000F1F45"/>
    <w:rsid w:val="000F2A7F"/>
    <w:rsid w:val="000F3DBD"/>
    <w:rsid w:val="000F5843"/>
    <w:rsid w:val="000F6A06"/>
    <w:rsid w:val="000F71F4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3A9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4F42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2EEB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008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A4E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E7159"/>
    <w:rsid w:val="003F1F5E"/>
    <w:rsid w:val="003F286A"/>
    <w:rsid w:val="003F5877"/>
    <w:rsid w:val="003F77F8"/>
    <w:rsid w:val="00400ACD"/>
    <w:rsid w:val="00403A35"/>
    <w:rsid w:val="00403B15"/>
    <w:rsid w:val="00403E8A"/>
    <w:rsid w:val="004101E4"/>
    <w:rsid w:val="00410661"/>
    <w:rsid w:val="004108C3"/>
    <w:rsid w:val="00410B33"/>
    <w:rsid w:val="004120CC"/>
    <w:rsid w:val="00412D71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595A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423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24C"/>
    <w:rsid w:val="004F64F6"/>
    <w:rsid w:val="004F69C0"/>
    <w:rsid w:val="00500121"/>
    <w:rsid w:val="005017AC"/>
    <w:rsid w:val="00501E8A"/>
    <w:rsid w:val="00505121"/>
    <w:rsid w:val="0050552E"/>
    <w:rsid w:val="00505C04"/>
    <w:rsid w:val="00505F1B"/>
    <w:rsid w:val="005073E8"/>
    <w:rsid w:val="00507A90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CF0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6F09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354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6EEB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13A"/>
    <w:rsid w:val="007D2892"/>
    <w:rsid w:val="007D2DCC"/>
    <w:rsid w:val="007D47E1"/>
    <w:rsid w:val="007D7FCB"/>
    <w:rsid w:val="007E33B6"/>
    <w:rsid w:val="007E357C"/>
    <w:rsid w:val="007E59E8"/>
    <w:rsid w:val="007F3861"/>
    <w:rsid w:val="007F4162"/>
    <w:rsid w:val="007F5441"/>
    <w:rsid w:val="007F7579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5A7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BBE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49A"/>
    <w:rsid w:val="00953499"/>
    <w:rsid w:val="00954A16"/>
    <w:rsid w:val="0095696D"/>
    <w:rsid w:val="0096028A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305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3BE0"/>
    <w:rsid w:val="009C43A5"/>
    <w:rsid w:val="009C5A1D"/>
    <w:rsid w:val="009C6B08"/>
    <w:rsid w:val="009C70FC"/>
    <w:rsid w:val="009D002B"/>
    <w:rsid w:val="009D37C7"/>
    <w:rsid w:val="009D4BBD"/>
    <w:rsid w:val="009D5A41"/>
    <w:rsid w:val="009D6A3D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324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7A9"/>
    <w:rsid w:val="00B80532"/>
    <w:rsid w:val="00B82039"/>
    <w:rsid w:val="00B82454"/>
    <w:rsid w:val="00B90097"/>
    <w:rsid w:val="00B90999"/>
    <w:rsid w:val="00B91AD7"/>
    <w:rsid w:val="00B92D23"/>
    <w:rsid w:val="00B95BC8"/>
    <w:rsid w:val="00B96AD1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79FC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0331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2A55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1655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4A58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34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9AD79D-71F5-4BEA-9D36-9353B86A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F62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6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62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624C"/>
    <w:rPr>
      <w:b/>
      <w:bCs/>
    </w:rPr>
  </w:style>
  <w:style w:type="character" w:styleId="Hyperlink">
    <w:name w:val="Hyperlink"/>
    <w:basedOn w:val="DefaultParagraphFont"/>
    <w:unhideWhenUsed/>
    <w:rsid w:val="003E715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B4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2982</Characters>
  <Application>Microsoft Office Word</Application>
  <DocSecurity>4</DocSecurity>
  <Lines>79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HB03615 (Committee Report (Substituted))</vt:lpstr>
    </vt:vector>
  </TitlesOfParts>
  <Company>State of Texas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19762</dc:subject>
  <dc:creator>State of Texas</dc:creator>
  <dc:description>HB 3615 by King, Phil-(H)State Affairs (Substitute Document Number: 87R 17362)</dc:description>
  <cp:lastModifiedBy>Lauren Bustamente</cp:lastModifiedBy>
  <cp:revision>2</cp:revision>
  <cp:lastPrinted>2003-11-26T17:21:00Z</cp:lastPrinted>
  <dcterms:created xsi:type="dcterms:W3CDTF">2021-04-12T23:05:00Z</dcterms:created>
  <dcterms:modified xsi:type="dcterms:W3CDTF">2021-04-12T23:05:00Z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21.102.991</vt:lpwstr>
  </property>
</Properties>
</file>