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A0E8B" w14:paraId="5641C18E" w14:textId="77777777" w:rsidTr="00345119">
        <w:tc>
          <w:tcPr>
            <w:tcW w:w="9576" w:type="dxa"/>
            <w:noWrap/>
          </w:tcPr>
          <w:p w14:paraId="567B60E9" w14:textId="77777777" w:rsidR="008423E4" w:rsidRPr="0022177D" w:rsidRDefault="00206626" w:rsidP="003D6A6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3AB488B" w14:textId="77777777" w:rsidR="008423E4" w:rsidRPr="0022177D" w:rsidRDefault="008423E4" w:rsidP="003D6A66">
      <w:pPr>
        <w:jc w:val="center"/>
      </w:pPr>
    </w:p>
    <w:p w14:paraId="4D0ABBCF" w14:textId="77777777" w:rsidR="008423E4" w:rsidRPr="00B31F0E" w:rsidRDefault="008423E4" w:rsidP="003D6A66"/>
    <w:p w14:paraId="2FD3E0B2" w14:textId="77777777" w:rsidR="008423E4" w:rsidRPr="00742794" w:rsidRDefault="008423E4" w:rsidP="003D6A6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0E8B" w14:paraId="7031B37F" w14:textId="77777777" w:rsidTr="00345119">
        <w:tc>
          <w:tcPr>
            <w:tcW w:w="9576" w:type="dxa"/>
          </w:tcPr>
          <w:p w14:paraId="6E5FE71A" w14:textId="5C4192F4" w:rsidR="008423E4" w:rsidRPr="00861995" w:rsidRDefault="00206626" w:rsidP="003D6A66">
            <w:pPr>
              <w:jc w:val="right"/>
            </w:pPr>
            <w:r>
              <w:t>C.S.H.B. 3642</w:t>
            </w:r>
          </w:p>
        </w:tc>
      </w:tr>
      <w:tr w:rsidR="000A0E8B" w14:paraId="0CDCC590" w14:textId="77777777" w:rsidTr="00345119">
        <w:tc>
          <w:tcPr>
            <w:tcW w:w="9576" w:type="dxa"/>
          </w:tcPr>
          <w:p w14:paraId="3DC0146F" w14:textId="2A883392" w:rsidR="008423E4" w:rsidRPr="00861995" w:rsidRDefault="00206626" w:rsidP="003D6A66">
            <w:pPr>
              <w:jc w:val="right"/>
            </w:pPr>
            <w:r>
              <w:t xml:space="preserve">By: </w:t>
            </w:r>
            <w:r w:rsidR="008536C2">
              <w:t>Parker</w:t>
            </w:r>
          </w:p>
        </w:tc>
      </w:tr>
      <w:tr w:rsidR="000A0E8B" w14:paraId="1E2A37FB" w14:textId="77777777" w:rsidTr="00345119">
        <w:tc>
          <w:tcPr>
            <w:tcW w:w="9576" w:type="dxa"/>
          </w:tcPr>
          <w:p w14:paraId="0C93D39F" w14:textId="1FCDA021" w:rsidR="008423E4" w:rsidRPr="00861995" w:rsidRDefault="00206626" w:rsidP="003D6A66">
            <w:pPr>
              <w:jc w:val="right"/>
            </w:pPr>
            <w:r>
              <w:t>Licensing &amp; Administrative Procedures</w:t>
            </w:r>
          </w:p>
        </w:tc>
      </w:tr>
      <w:tr w:rsidR="000A0E8B" w14:paraId="595AA98E" w14:textId="77777777" w:rsidTr="00345119">
        <w:tc>
          <w:tcPr>
            <w:tcW w:w="9576" w:type="dxa"/>
          </w:tcPr>
          <w:p w14:paraId="54B25B05" w14:textId="742FD3B1" w:rsidR="008423E4" w:rsidRDefault="00206626" w:rsidP="003D6A66">
            <w:pPr>
              <w:jc w:val="right"/>
            </w:pPr>
            <w:r>
              <w:t>Committee Report (Substituted)</w:t>
            </w:r>
          </w:p>
        </w:tc>
      </w:tr>
    </w:tbl>
    <w:p w14:paraId="06278528" w14:textId="77777777" w:rsidR="008423E4" w:rsidRDefault="008423E4" w:rsidP="003D6A66">
      <w:pPr>
        <w:tabs>
          <w:tab w:val="right" w:pos="9360"/>
        </w:tabs>
      </w:pPr>
    </w:p>
    <w:p w14:paraId="352BF778" w14:textId="77777777" w:rsidR="008423E4" w:rsidRDefault="008423E4" w:rsidP="003D6A66"/>
    <w:p w14:paraId="72C18950" w14:textId="77777777" w:rsidR="008423E4" w:rsidRDefault="008423E4" w:rsidP="003D6A6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A0E8B" w14:paraId="406BABDC" w14:textId="77777777" w:rsidTr="00345119">
        <w:tc>
          <w:tcPr>
            <w:tcW w:w="9576" w:type="dxa"/>
          </w:tcPr>
          <w:p w14:paraId="05BDB049" w14:textId="77777777" w:rsidR="008423E4" w:rsidRPr="00A8133F" w:rsidRDefault="00206626" w:rsidP="003D6A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209B7D" w14:textId="77777777" w:rsidR="008423E4" w:rsidRDefault="008423E4" w:rsidP="003D6A66"/>
          <w:p w14:paraId="52F9E260" w14:textId="1903B6E7" w:rsidR="008423E4" w:rsidRDefault="00206626" w:rsidP="003D6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E2803">
              <w:t xml:space="preserve">The </w:t>
            </w:r>
            <w:r w:rsidR="0036379B">
              <w:t>T</w:t>
            </w:r>
            <w:r w:rsidRPr="00CE2803">
              <w:t xml:space="preserve">own of Northlake has experienced rapid economic development and growth, some of which has taken place in </w:t>
            </w:r>
            <w:r w:rsidR="005A31C0">
              <w:t>areas</w:t>
            </w:r>
            <w:r w:rsidR="005A31C0" w:rsidRPr="00CE2803">
              <w:t xml:space="preserve"> </w:t>
            </w:r>
            <w:r w:rsidRPr="00CE2803">
              <w:t>annexed to the town. Residents of Northlake have expressed their desire for restaurants</w:t>
            </w:r>
            <w:r w:rsidR="00AE5104">
              <w:t xml:space="preserve"> in these annexed areas</w:t>
            </w:r>
            <w:r w:rsidRPr="00CE2803">
              <w:t xml:space="preserve"> to have the </w:t>
            </w:r>
            <w:r w:rsidR="000A2128">
              <w:t>authority</w:t>
            </w:r>
            <w:r w:rsidR="000A2128" w:rsidRPr="00CE2803">
              <w:t xml:space="preserve"> </w:t>
            </w:r>
            <w:r w:rsidRPr="00CE2803">
              <w:t>to sell alcohol</w:t>
            </w:r>
            <w:r w:rsidR="000A2128">
              <w:t xml:space="preserve"> in hopes of attracting further economic development</w:t>
            </w:r>
            <w:r w:rsidRPr="00CE2803">
              <w:t xml:space="preserve">. </w:t>
            </w:r>
            <w:r w:rsidR="005A31C0">
              <w:t>C.S.</w:t>
            </w:r>
            <w:r w:rsidR="005A31C0" w:rsidRPr="00CE2803">
              <w:t>H</w:t>
            </w:r>
            <w:r w:rsidR="005A31C0">
              <w:t>.</w:t>
            </w:r>
            <w:r w:rsidR="005A31C0" w:rsidRPr="00CE2803">
              <w:t>B</w:t>
            </w:r>
            <w:r w:rsidR="005A31C0">
              <w:t>.</w:t>
            </w:r>
            <w:r w:rsidR="005A31C0" w:rsidRPr="00CE2803">
              <w:t xml:space="preserve"> </w:t>
            </w:r>
            <w:r w:rsidRPr="00CE2803">
              <w:t xml:space="preserve">3642 seeks to ensure that the </w:t>
            </w:r>
            <w:r w:rsidR="000A2128">
              <w:t>authority</w:t>
            </w:r>
            <w:r w:rsidR="000A2128" w:rsidRPr="00CE2803">
              <w:t xml:space="preserve"> </w:t>
            </w:r>
            <w:r w:rsidRPr="00CE2803">
              <w:t>to sell alcohol is available to businesses throughout</w:t>
            </w:r>
            <w:r w:rsidR="00145A35">
              <w:t xml:space="preserve"> the town </w:t>
            </w:r>
            <w:r w:rsidRPr="00CE2803">
              <w:t xml:space="preserve">by </w:t>
            </w:r>
            <w:r w:rsidR="0036379B">
              <w:t>providing for</w:t>
            </w:r>
            <w:r w:rsidR="000A2128">
              <w:t xml:space="preserve"> </w:t>
            </w:r>
            <w:r w:rsidR="00CC6EFE">
              <w:t xml:space="preserve">annexed </w:t>
            </w:r>
            <w:r w:rsidR="000A2128">
              <w:t xml:space="preserve">areas </w:t>
            </w:r>
            <w:r w:rsidR="0036379B">
              <w:t xml:space="preserve">to </w:t>
            </w:r>
            <w:r w:rsidRPr="00CE2803">
              <w:t>automatically assume the town's wet status.</w:t>
            </w:r>
          </w:p>
          <w:p w14:paraId="576E6027" w14:textId="77777777" w:rsidR="008423E4" w:rsidRPr="00E26B13" w:rsidRDefault="008423E4" w:rsidP="003D6A66">
            <w:pPr>
              <w:rPr>
                <w:b/>
              </w:rPr>
            </w:pPr>
          </w:p>
        </w:tc>
      </w:tr>
      <w:tr w:rsidR="000A0E8B" w14:paraId="2DE7773B" w14:textId="77777777" w:rsidTr="00345119">
        <w:tc>
          <w:tcPr>
            <w:tcW w:w="9576" w:type="dxa"/>
          </w:tcPr>
          <w:p w14:paraId="7DACDBC7" w14:textId="77777777" w:rsidR="0017725B" w:rsidRDefault="00206626" w:rsidP="003D6A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B785EB8" w14:textId="77777777" w:rsidR="0017725B" w:rsidRDefault="0017725B" w:rsidP="003D6A66">
            <w:pPr>
              <w:rPr>
                <w:b/>
                <w:u w:val="single"/>
              </w:rPr>
            </w:pPr>
          </w:p>
          <w:p w14:paraId="03D6BBBF" w14:textId="77777777" w:rsidR="002E5E19" w:rsidRPr="002E5E19" w:rsidRDefault="00206626" w:rsidP="003D6A66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5FED4E73" w14:textId="77777777" w:rsidR="0017725B" w:rsidRPr="0017725B" w:rsidRDefault="0017725B" w:rsidP="003D6A66">
            <w:pPr>
              <w:rPr>
                <w:b/>
                <w:u w:val="single"/>
              </w:rPr>
            </w:pPr>
          </w:p>
        </w:tc>
      </w:tr>
      <w:tr w:rsidR="000A0E8B" w14:paraId="68F120C6" w14:textId="77777777" w:rsidTr="00345119">
        <w:tc>
          <w:tcPr>
            <w:tcW w:w="9576" w:type="dxa"/>
          </w:tcPr>
          <w:p w14:paraId="23D5EA07" w14:textId="77777777" w:rsidR="008423E4" w:rsidRPr="00A8133F" w:rsidRDefault="00206626" w:rsidP="003D6A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07FCEFB" w14:textId="77777777" w:rsidR="008423E4" w:rsidRDefault="008423E4" w:rsidP="003D6A66"/>
          <w:p w14:paraId="2234551E" w14:textId="77777777" w:rsidR="002E5E19" w:rsidRDefault="00206626" w:rsidP="003D6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4CB222E2" w14:textId="77777777" w:rsidR="008423E4" w:rsidRPr="00E21FDC" w:rsidRDefault="008423E4" w:rsidP="003D6A66">
            <w:pPr>
              <w:rPr>
                <w:b/>
              </w:rPr>
            </w:pPr>
          </w:p>
        </w:tc>
      </w:tr>
      <w:tr w:rsidR="000A0E8B" w14:paraId="79DFC406" w14:textId="77777777" w:rsidTr="00345119">
        <w:tc>
          <w:tcPr>
            <w:tcW w:w="9576" w:type="dxa"/>
          </w:tcPr>
          <w:p w14:paraId="0583429F" w14:textId="77777777" w:rsidR="008423E4" w:rsidRPr="00A8133F" w:rsidRDefault="00206626" w:rsidP="003D6A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79F7673" w14:textId="77777777" w:rsidR="008423E4" w:rsidRDefault="008423E4" w:rsidP="003D6A66"/>
          <w:p w14:paraId="5B8FE574" w14:textId="3E8C7E61" w:rsidR="009C36CD" w:rsidRDefault="00206626" w:rsidP="003D6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729B1">
              <w:t xml:space="preserve">H.B. 3642 amends the </w:t>
            </w:r>
            <w:r w:rsidR="00D729B1" w:rsidRPr="00D729B1">
              <w:t>Alcoholic Beverage Code</w:t>
            </w:r>
            <w:r w:rsidR="002E5E19">
              <w:t xml:space="preserve"> to establish that </w:t>
            </w:r>
            <w:r w:rsidR="002E5E19" w:rsidRPr="002E5E19">
              <w:t>an area annexed to a municipality</w:t>
            </w:r>
            <w:r w:rsidR="002E5E19">
              <w:t xml:space="preserve"> that meets the following </w:t>
            </w:r>
            <w:r w:rsidR="00AE5104">
              <w:t xml:space="preserve">criteria </w:t>
            </w:r>
            <w:r w:rsidR="002E5E19" w:rsidRPr="002E5E19">
              <w:t>automatically assumes the wet or dry status of that municipality on annexation</w:t>
            </w:r>
            <w:r w:rsidR="002E5E19">
              <w:t>:</w:t>
            </w:r>
          </w:p>
          <w:p w14:paraId="6462E3E2" w14:textId="5CB34E4E" w:rsidR="006F69D0" w:rsidRDefault="00206626" w:rsidP="003D6A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municipality </w:t>
            </w:r>
            <w:r w:rsidRPr="006F69D0">
              <w:t>has a municipal boundary located not more than 1.5 miles from an automobile racetrack with a seating capacity of more than 1</w:t>
            </w:r>
            <w:r w:rsidRPr="006F69D0">
              <w:t>00,000</w:t>
            </w:r>
            <w:r>
              <w:t>;</w:t>
            </w:r>
          </w:p>
          <w:p w14:paraId="3A627E83" w14:textId="65CFF920" w:rsidR="002E5E19" w:rsidRDefault="00206626" w:rsidP="003D6A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municipality has </w:t>
            </w:r>
            <w:r w:rsidRPr="006F69D0">
              <w:t>a population of more than 1,000 and less than 3,000</w:t>
            </w:r>
            <w:r>
              <w:t xml:space="preserve">; and </w:t>
            </w:r>
          </w:p>
          <w:p w14:paraId="6F9C4C97" w14:textId="78B431E5" w:rsidR="002E5E19" w:rsidRDefault="00206626" w:rsidP="003D6A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municipality </w:t>
            </w:r>
            <w:r w:rsidRPr="002E5E19">
              <w:t xml:space="preserve">is located </w:t>
            </w:r>
            <w:r>
              <w:t xml:space="preserve">entirely </w:t>
            </w:r>
            <w:r w:rsidRPr="002E5E19">
              <w:t>within a county with a population of more than 650,000 that is adjacent to two counties, each of which has a population of more than</w:t>
            </w:r>
            <w:r w:rsidRPr="002E5E19">
              <w:t xml:space="preserve"> 1.8 million.</w:t>
            </w:r>
            <w:r>
              <w:t xml:space="preserve"> </w:t>
            </w:r>
          </w:p>
          <w:p w14:paraId="33EB2883" w14:textId="4037C352" w:rsidR="00E925CA" w:rsidRPr="009C36CD" w:rsidRDefault="00206626" w:rsidP="003D6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This change </w:t>
            </w:r>
            <w:r w:rsidRPr="00E925CA">
              <w:t xml:space="preserve">applies to an area annexed by a municipality before, on, or after the </w:t>
            </w:r>
            <w:r>
              <w:t xml:space="preserve">bill's </w:t>
            </w:r>
            <w:r w:rsidRPr="00E925CA">
              <w:t>effective date.</w:t>
            </w:r>
          </w:p>
          <w:p w14:paraId="5A33375D" w14:textId="77777777" w:rsidR="008423E4" w:rsidRPr="00835628" w:rsidRDefault="008423E4" w:rsidP="003D6A66">
            <w:pPr>
              <w:rPr>
                <w:b/>
              </w:rPr>
            </w:pPr>
          </w:p>
        </w:tc>
      </w:tr>
      <w:tr w:rsidR="000A0E8B" w14:paraId="0E11065D" w14:textId="77777777" w:rsidTr="00345119">
        <w:tc>
          <w:tcPr>
            <w:tcW w:w="9576" w:type="dxa"/>
          </w:tcPr>
          <w:p w14:paraId="187000D6" w14:textId="77777777" w:rsidR="008423E4" w:rsidRPr="00A8133F" w:rsidRDefault="00206626" w:rsidP="003D6A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BDCBF87" w14:textId="77777777" w:rsidR="008423E4" w:rsidRDefault="008423E4" w:rsidP="003D6A66"/>
          <w:p w14:paraId="7EAC50D7" w14:textId="77777777" w:rsidR="008423E4" w:rsidRPr="003624F2" w:rsidRDefault="00206626" w:rsidP="003D6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3A64E27" w14:textId="77777777" w:rsidR="008423E4" w:rsidRPr="00233FDB" w:rsidRDefault="008423E4" w:rsidP="003D6A66">
            <w:pPr>
              <w:rPr>
                <w:b/>
              </w:rPr>
            </w:pPr>
          </w:p>
        </w:tc>
      </w:tr>
      <w:tr w:rsidR="000A0E8B" w14:paraId="6BB2BD01" w14:textId="77777777" w:rsidTr="00345119">
        <w:tc>
          <w:tcPr>
            <w:tcW w:w="9576" w:type="dxa"/>
          </w:tcPr>
          <w:p w14:paraId="13CF6097" w14:textId="77777777" w:rsidR="008536C2" w:rsidRDefault="00206626" w:rsidP="003D6A6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CC6C579" w14:textId="77777777" w:rsidR="006F69D0" w:rsidRDefault="006F69D0" w:rsidP="003D6A66">
            <w:pPr>
              <w:jc w:val="both"/>
            </w:pPr>
          </w:p>
          <w:p w14:paraId="25213264" w14:textId="1360496F" w:rsidR="006F69D0" w:rsidRDefault="00206626" w:rsidP="003D6A66">
            <w:pPr>
              <w:jc w:val="both"/>
            </w:pPr>
            <w:r>
              <w:t>While C.S.H.B. 3642 may differ from the original in minor</w:t>
            </w:r>
            <w:r>
              <w:t xml:space="preserve"> or nonsubstantive ways, the following summarizes the substantial differences between the introduced and committee substitute versions of the bill.</w:t>
            </w:r>
          </w:p>
          <w:p w14:paraId="6FEDF133" w14:textId="48C233EE" w:rsidR="006F69D0" w:rsidRDefault="006F69D0" w:rsidP="003D6A66">
            <w:pPr>
              <w:jc w:val="both"/>
            </w:pPr>
          </w:p>
          <w:p w14:paraId="5D4F0B39" w14:textId="7F5F008D" w:rsidR="006F69D0" w:rsidRDefault="00206626" w:rsidP="003D6A66">
            <w:pPr>
              <w:jc w:val="both"/>
            </w:pPr>
            <w:r>
              <w:t xml:space="preserve">The substitute changes the </w:t>
            </w:r>
            <w:r w:rsidR="00EE0DA9">
              <w:t xml:space="preserve">identifying </w:t>
            </w:r>
            <w:r w:rsidR="002F2DB9">
              <w:t>features</w:t>
            </w:r>
            <w:r w:rsidR="00EE0DA9">
              <w:t xml:space="preserve"> of the municipality to which the bill's provisions apply </w:t>
            </w:r>
            <w:r w:rsidR="00D82B5E">
              <w:t>by doing the following:</w:t>
            </w:r>
          </w:p>
          <w:p w14:paraId="7B1F1033" w14:textId="769524F3" w:rsidR="00D82B5E" w:rsidRDefault="00206626" w:rsidP="003D6A66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removing </w:t>
            </w:r>
            <w:r w:rsidR="007C65E9">
              <w:t xml:space="preserve">a provision establishing that </w:t>
            </w:r>
            <w:r>
              <w:t xml:space="preserve">the municipality </w:t>
            </w:r>
            <w:r w:rsidRPr="00D82B5E">
              <w:t>contains Farm to Market Road No. 407, Farm to Market Road No. 1171, and State Highway 114</w:t>
            </w:r>
            <w:r>
              <w:t>;</w:t>
            </w:r>
          </w:p>
          <w:p w14:paraId="075A2CEC" w14:textId="52B786CC" w:rsidR="00D82B5E" w:rsidRDefault="00206626" w:rsidP="003D6A66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including </w:t>
            </w:r>
            <w:r w:rsidR="007C65E9">
              <w:t>provision</w:t>
            </w:r>
            <w:r w:rsidR="00372C09">
              <w:t>s</w:t>
            </w:r>
            <w:r w:rsidR="007C65E9">
              <w:t xml:space="preserve"> establishing </w:t>
            </w:r>
            <w:r>
              <w:t xml:space="preserve">that the municipality </w:t>
            </w:r>
            <w:r w:rsidRPr="00D82B5E">
              <w:t>has</w:t>
            </w:r>
            <w:r w:rsidR="00372C09">
              <w:t xml:space="preserve"> a population of more than 1,000 and less than 3,000 and has</w:t>
            </w:r>
            <w:r w:rsidRPr="00D82B5E">
              <w:t xml:space="preserve"> a municipal boundary located not more than 1.5 miles from an automobile racetrack with a seating capacity of more than 100,000;</w:t>
            </w:r>
            <w:r>
              <w:t xml:space="preserve"> and </w:t>
            </w:r>
          </w:p>
          <w:p w14:paraId="5F8B9B8D" w14:textId="7FE56E75" w:rsidR="00D82B5E" w:rsidRDefault="00206626" w:rsidP="003D6A66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specifying that the municipality is located entirely within the applicable county. </w:t>
            </w:r>
          </w:p>
          <w:p w14:paraId="2ED63B6E" w14:textId="200270C0" w:rsidR="006F69D0" w:rsidRPr="006F69D0" w:rsidRDefault="006F69D0" w:rsidP="003D6A66">
            <w:pPr>
              <w:jc w:val="both"/>
            </w:pPr>
          </w:p>
        </w:tc>
      </w:tr>
      <w:tr w:rsidR="000A0E8B" w14:paraId="2843DB09" w14:textId="77777777" w:rsidTr="00345119">
        <w:tc>
          <w:tcPr>
            <w:tcW w:w="9576" w:type="dxa"/>
          </w:tcPr>
          <w:p w14:paraId="17836EF1" w14:textId="77777777" w:rsidR="008536C2" w:rsidRPr="009C1E9A" w:rsidRDefault="008536C2" w:rsidP="003D6A66">
            <w:pPr>
              <w:rPr>
                <w:b/>
                <w:u w:val="single"/>
              </w:rPr>
            </w:pPr>
          </w:p>
        </w:tc>
      </w:tr>
      <w:tr w:rsidR="000A0E8B" w14:paraId="011D0FDC" w14:textId="77777777" w:rsidTr="00345119">
        <w:tc>
          <w:tcPr>
            <w:tcW w:w="9576" w:type="dxa"/>
          </w:tcPr>
          <w:p w14:paraId="46172617" w14:textId="77777777" w:rsidR="008536C2" w:rsidRPr="008536C2" w:rsidRDefault="008536C2" w:rsidP="003D6A66">
            <w:pPr>
              <w:jc w:val="both"/>
            </w:pPr>
          </w:p>
        </w:tc>
      </w:tr>
    </w:tbl>
    <w:p w14:paraId="3E2DC93E" w14:textId="77777777" w:rsidR="008423E4" w:rsidRPr="00BE0E75" w:rsidRDefault="008423E4" w:rsidP="003D6A66">
      <w:pPr>
        <w:jc w:val="both"/>
        <w:rPr>
          <w:rFonts w:ascii="Arial" w:hAnsi="Arial"/>
          <w:sz w:val="16"/>
          <w:szCs w:val="16"/>
        </w:rPr>
      </w:pPr>
    </w:p>
    <w:p w14:paraId="7D8E36D9" w14:textId="77777777" w:rsidR="004108C3" w:rsidRPr="008423E4" w:rsidRDefault="004108C3" w:rsidP="003D6A6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5A0C3" w14:textId="77777777" w:rsidR="00000000" w:rsidRDefault="00206626">
      <w:r>
        <w:separator/>
      </w:r>
    </w:p>
  </w:endnote>
  <w:endnote w:type="continuationSeparator" w:id="0">
    <w:p w14:paraId="3242570F" w14:textId="77777777" w:rsidR="00000000" w:rsidRDefault="0020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4B0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0E8B" w14:paraId="7EF06013" w14:textId="77777777" w:rsidTr="009C1E9A">
      <w:trPr>
        <w:cantSplit/>
      </w:trPr>
      <w:tc>
        <w:tcPr>
          <w:tcW w:w="0" w:type="pct"/>
        </w:tcPr>
        <w:p w14:paraId="6F9175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4321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6AE4E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DB70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C7B3D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0E8B" w14:paraId="603761C5" w14:textId="77777777" w:rsidTr="009C1E9A">
      <w:trPr>
        <w:cantSplit/>
      </w:trPr>
      <w:tc>
        <w:tcPr>
          <w:tcW w:w="0" w:type="pct"/>
        </w:tcPr>
        <w:p w14:paraId="66A2C5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72DDAA" w14:textId="670B4C5D" w:rsidR="00EC379B" w:rsidRPr="009C1E9A" w:rsidRDefault="002066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19004</w:t>
          </w:r>
        </w:p>
      </w:tc>
      <w:tc>
        <w:tcPr>
          <w:tcW w:w="2453" w:type="pct"/>
        </w:tcPr>
        <w:p w14:paraId="0AAE6A79" w14:textId="1810DE26" w:rsidR="00EC379B" w:rsidRDefault="002066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7770C">
            <w:t>21.99.479</w:t>
          </w:r>
          <w:r>
            <w:fldChar w:fldCharType="end"/>
          </w:r>
        </w:p>
      </w:tc>
    </w:tr>
    <w:tr w:rsidR="000A0E8B" w14:paraId="385F7BEE" w14:textId="77777777" w:rsidTr="009C1E9A">
      <w:trPr>
        <w:cantSplit/>
      </w:trPr>
      <w:tc>
        <w:tcPr>
          <w:tcW w:w="0" w:type="pct"/>
        </w:tcPr>
        <w:p w14:paraId="47AEBD2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59B3AF1" w14:textId="1F75FBED" w:rsidR="00EC379B" w:rsidRPr="009C1E9A" w:rsidRDefault="002066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13346</w:t>
          </w:r>
        </w:p>
      </w:tc>
      <w:tc>
        <w:tcPr>
          <w:tcW w:w="2453" w:type="pct"/>
        </w:tcPr>
        <w:p w14:paraId="7F30E4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1C472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0E8B" w14:paraId="1E95998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223745" w14:textId="71A8A028" w:rsidR="00EC379B" w:rsidRDefault="002066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D6A6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5AF3B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2FFED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F2A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8C05" w14:textId="77777777" w:rsidR="00000000" w:rsidRDefault="00206626">
      <w:r>
        <w:separator/>
      </w:r>
    </w:p>
  </w:footnote>
  <w:footnote w:type="continuationSeparator" w:id="0">
    <w:p w14:paraId="17AFAB3D" w14:textId="77777777" w:rsidR="00000000" w:rsidRDefault="0020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93D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AC4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D95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4CD"/>
    <w:multiLevelType w:val="hybridMultilevel"/>
    <w:tmpl w:val="21180AC8"/>
    <w:lvl w:ilvl="0" w:tplc="4894D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6F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08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04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C6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0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06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47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56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5D53"/>
    <w:multiLevelType w:val="hybridMultilevel"/>
    <w:tmpl w:val="0F940574"/>
    <w:lvl w:ilvl="0" w:tplc="49C0C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6C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2F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8B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0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49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8B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E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2C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E8B"/>
    <w:rsid w:val="000A2128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48B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5A35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30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5E1"/>
    <w:rsid w:val="001F6B91"/>
    <w:rsid w:val="001F703C"/>
    <w:rsid w:val="00200B9E"/>
    <w:rsid w:val="00200BF5"/>
    <w:rsid w:val="002010D1"/>
    <w:rsid w:val="00201338"/>
    <w:rsid w:val="00206626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E19"/>
    <w:rsid w:val="002E7DF9"/>
    <w:rsid w:val="002F097B"/>
    <w:rsid w:val="002F2DB9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1B2"/>
    <w:rsid w:val="003544CE"/>
    <w:rsid w:val="00355A98"/>
    <w:rsid w:val="00355D7E"/>
    <w:rsid w:val="00357CA1"/>
    <w:rsid w:val="00361FE9"/>
    <w:rsid w:val="003624F2"/>
    <w:rsid w:val="0036379B"/>
    <w:rsid w:val="00363854"/>
    <w:rsid w:val="00364315"/>
    <w:rsid w:val="003643E2"/>
    <w:rsid w:val="00365441"/>
    <w:rsid w:val="00370155"/>
    <w:rsid w:val="003712D5"/>
    <w:rsid w:val="00372C09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A66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1C0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9D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990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DC3"/>
    <w:rsid w:val="007B4FCA"/>
    <w:rsid w:val="007B7B85"/>
    <w:rsid w:val="007C462E"/>
    <w:rsid w:val="007C496B"/>
    <w:rsid w:val="007C65E9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6C2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4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104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5DF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29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EFE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803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9B1"/>
    <w:rsid w:val="00D730FA"/>
    <w:rsid w:val="00D76631"/>
    <w:rsid w:val="00D768B7"/>
    <w:rsid w:val="00D77492"/>
    <w:rsid w:val="00D811E8"/>
    <w:rsid w:val="00D81A44"/>
    <w:rsid w:val="00D82B5E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266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70C"/>
    <w:rsid w:val="00E8272C"/>
    <w:rsid w:val="00E827C7"/>
    <w:rsid w:val="00E85DBD"/>
    <w:rsid w:val="00E87A99"/>
    <w:rsid w:val="00E90702"/>
    <w:rsid w:val="00E9241E"/>
    <w:rsid w:val="00E925CA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DA9"/>
    <w:rsid w:val="00EE1885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2F9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025F95-5DA6-4E12-8463-1A71C2A3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5E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5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5E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E19"/>
    <w:rPr>
      <w:b/>
      <w:bCs/>
    </w:rPr>
  </w:style>
  <w:style w:type="paragraph" w:styleId="ListParagraph">
    <w:name w:val="List Paragraph"/>
    <w:basedOn w:val="Normal"/>
    <w:uiPriority w:val="34"/>
    <w:qFormat/>
    <w:rsid w:val="00D8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2329</Characters>
  <Application>Microsoft Office Word</Application>
  <DocSecurity>4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HB03642 (Committee Report (Substituted))</vt:lpstr>
    </vt:vector>
  </TitlesOfParts>
  <Company>State of Texas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19004</dc:subject>
  <dc:creator>State of Texas</dc:creator>
  <dc:description>HB 3642 by Parker-(H)Licensing &amp; Administrative Procedures (Substitute Document Number: 87R 13346)</dc:description>
  <cp:lastModifiedBy>Emma Bodisch</cp:lastModifiedBy>
  <cp:revision>2</cp:revision>
  <cp:lastPrinted>2003-11-26T17:21:00Z</cp:lastPrinted>
  <dcterms:created xsi:type="dcterms:W3CDTF">2021-04-09T23:11:00Z</dcterms:created>
  <dcterms:modified xsi:type="dcterms:W3CDTF">2021-04-09T23:11:00Z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21.99.479</vt:lpwstr>
  </property>
</Properties>
</file>