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299C" w14:paraId="32F8689B" w14:textId="77777777" w:rsidTr="00345119">
        <w:tc>
          <w:tcPr>
            <w:tcW w:w="9576" w:type="dxa"/>
            <w:noWrap/>
          </w:tcPr>
          <w:p w14:paraId="0DE55B9E" w14:textId="77777777" w:rsidR="008423E4" w:rsidRPr="0022177D" w:rsidRDefault="00AF362C" w:rsidP="003D0A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D1E297" w14:textId="77777777" w:rsidR="008423E4" w:rsidRPr="0022177D" w:rsidRDefault="008423E4" w:rsidP="003D0A66">
      <w:pPr>
        <w:jc w:val="center"/>
      </w:pPr>
    </w:p>
    <w:p w14:paraId="54EEA45B" w14:textId="77777777" w:rsidR="008423E4" w:rsidRPr="00B31F0E" w:rsidRDefault="008423E4" w:rsidP="003D0A66"/>
    <w:p w14:paraId="6224074E" w14:textId="77777777" w:rsidR="008423E4" w:rsidRPr="00742794" w:rsidRDefault="008423E4" w:rsidP="003D0A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299C" w14:paraId="7B04AD74" w14:textId="77777777" w:rsidTr="00345119">
        <w:tc>
          <w:tcPr>
            <w:tcW w:w="9576" w:type="dxa"/>
          </w:tcPr>
          <w:p w14:paraId="1B3929C8" w14:textId="13787CCE" w:rsidR="008423E4" w:rsidRPr="00861995" w:rsidRDefault="00AF362C" w:rsidP="003D0A66">
            <w:pPr>
              <w:jc w:val="right"/>
            </w:pPr>
            <w:r>
              <w:t>H.B. 3648</w:t>
            </w:r>
          </w:p>
        </w:tc>
      </w:tr>
      <w:tr w:rsidR="0057299C" w14:paraId="11E6F53E" w14:textId="77777777" w:rsidTr="00345119">
        <w:tc>
          <w:tcPr>
            <w:tcW w:w="9576" w:type="dxa"/>
          </w:tcPr>
          <w:p w14:paraId="7D7F2623" w14:textId="1DABC49A" w:rsidR="008423E4" w:rsidRPr="00861995" w:rsidRDefault="00AF362C" w:rsidP="003D0A66">
            <w:pPr>
              <w:jc w:val="right"/>
            </w:pPr>
            <w:r>
              <w:t xml:space="preserve">By: </w:t>
            </w:r>
            <w:r w:rsidR="002C6818">
              <w:t>Geren</w:t>
            </w:r>
          </w:p>
        </w:tc>
      </w:tr>
      <w:tr w:rsidR="0057299C" w14:paraId="14345ACF" w14:textId="77777777" w:rsidTr="00345119">
        <w:tc>
          <w:tcPr>
            <w:tcW w:w="9576" w:type="dxa"/>
          </w:tcPr>
          <w:p w14:paraId="645B0DFC" w14:textId="1E2E48E1" w:rsidR="008423E4" w:rsidRPr="00861995" w:rsidRDefault="00AF362C" w:rsidP="003D0A66">
            <w:pPr>
              <w:jc w:val="right"/>
            </w:pPr>
            <w:r>
              <w:t>Energy Resources</w:t>
            </w:r>
          </w:p>
        </w:tc>
      </w:tr>
      <w:tr w:rsidR="0057299C" w14:paraId="23CADF28" w14:textId="77777777" w:rsidTr="00345119">
        <w:tc>
          <w:tcPr>
            <w:tcW w:w="9576" w:type="dxa"/>
          </w:tcPr>
          <w:p w14:paraId="378C7E02" w14:textId="43A2BF59" w:rsidR="008423E4" w:rsidRDefault="00AF362C" w:rsidP="003D0A66">
            <w:pPr>
              <w:jc w:val="right"/>
            </w:pPr>
            <w:r>
              <w:t>Committee Report (Unamended)</w:t>
            </w:r>
          </w:p>
        </w:tc>
      </w:tr>
    </w:tbl>
    <w:p w14:paraId="38DFBF7F" w14:textId="77777777" w:rsidR="008423E4" w:rsidRDefault="008423E4" w:rsidP="003D0A66">
      <w:pPr>
        <w:tabs>
          <w:tab w:val="right" w:pos="9360"/>
        </w:tabs>
      </w:pPr>
    </w:p>
    <w:p w14:paraId="7AC24D4A" w14:textId="77777777" w:rsidR="008423E4" w:rsidRDefault="008423E4" w:rsidP="003D0A66"/>
    <w:p w14:paraId="0B1C0E24" w14:textId="77777777" w:rsidR="008423E4" w:rsidRDefault="008423E4" w:rsidP="003D0A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299C" w14:paraId="7359242C" w14:textId="77777777" w:rsidTr="00345119">
        <w:tc>
          <w:tcPr>
            <w:tcW w:w="9576" w:type="dxa"/>
          </w:tcPr>
          <w:p w14:paraId="4E57311A" w14:textId="77777777" w:rsidR="008423E4" w:rsidRPr="00A8133F" w:rsidRDefault="00AF362C" w:rsidP="003D0A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038ADD" w14:textId="77777777" w:rsidR="008423E4" w:rsidRDefault="008423E4" w:rsidP="003D0A66"/>
          <w:p w14:paraId="280847C6" w14:textId="05506406" w:rsidR="005E52EC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E52EC">
              <w:t xml:space="preserve">During Winter Storm Uri, natural gas production and natural gas transmission experienced power outages which in turn created freezing issues </w:t>
            </w:r>
            <w:r w:rsidR="0000081D">
              <w:t>that</w:t>
            </w:r>
            <w:r w:rsidR="0000081D" w:rsidRPr="005E52EC">
              <w:t xml:space="preserve"> </w:t>
            </w:r>
            <w:r w:rsidRPr="005E52EC">
              <w:t xml:space="preserve">would not have otherwise </w:t>
            </w:r>
            <w:r w:rsidR="00D02782" w:rsidRPr="005E52EC">
              <w:t>occurred</w:t>
            </w:r>
            <w:r w:rsidRPr="005E52EC">
              <w:t xml:space="preserve">. </w:t>
            </w:r>
            <w:r w:rsidR="00D02782">
              <w:t>It has been suggested</w:t>
            </w:r>
            <w:r w:rsidRPr="005E52EC">
              <w:t xml:space="preserve"> that better coordination between natural gas and elec</w:t>
            </w:r>
            <w:r w:rsidRPr="005E52EC">
              <w:t xml:space="preserve">tric providers is essential to prevent this problem from reoccurring in </w:t>
            </w:r>
            <w:r w:rsidR="00D02782">
              <w:t xml:space="preserve">the </w:t>
            </w:r>
            <w:r w:rsidRPr="005E52EC">
              <w:t>future.</w:t>
            </w:r>
            <w:r w:rsidR="00D02782">
              <w:t xml:space="preserve"> </w:t>
            </w:r>
            <w:r>
              <w:t>The Public Utility Commission</w:t>
            </w:r>
            <w:r w:rsidR="00D02782">
              <w:t xml:space="preserve"> of Texas (PUC)</w:t>
            </w:r>
            <w:r>
              <w:t>, Railroad Commission of Texas</w:t>
            </w:r>
            <w:r w:rsidR="00D02782">
              <w:t xml:space="preserve"> (RRC)</w:t>
            </w:r>
            <w:r>
              <w:t>, transmission and distribution utilities, municipally</w:t>
            </w:r>
            <w:r w:rsidR="000549DC">
              <w:t xml:space="preserve"> </w:t>
            </w:r>
            <w:r>
              <w:t xml:space="preserve">owned </w:t>
            </w:r>
            <w:r w:rsidR="00D02782">
              <w:t>utilities</w:t>
            </w:r>
            <w:r>
              <w:t>, and electric coopera</w:t>
            </w:r>
            <w:r>
              <w:t>tives have developed and distributed an Application for Critical Load Serving Electric Generation and Cogeneration, but the application continues to be voluntary.</w:t>
            </w:r>
            <w:r w:rsidR="00D02782">
              <w:t xml:space="preserve"> </w:t>
            </w:r>
            <w:r w:rsidRPr="005E52EC">
              <w:t>H</w:t>
            </w:r>
            <w:r w:rsidR="00D02782">
              <w:t>.</w:t>
            </w:r>
            <w:r w:rsidRPr="005E52EC">
              <w:t>B</w:t>
            </w:r>
            <w:r w:rsidR="00D02782">
              <w:t>.</w:t>
            </w:r>
            <w:r w:rsidRPr="005E52EC">
              <w:t xml:space="preserve"> 3648 </w:t>
            </w:r>
            <w:r w:rsidR="00D02782">
              <w:t xml:space="preserve">seeks to </w:t>
            </w:r>
            <w:r w:rsidRPr="005E52EC">
              <w:t xml:space="preserve">resolve this issue by requiring the PUC and the </w:t>
            </w:r>
            <w:r w:rsidR="00B5143C">
              <w:t>R</w:t>
            </w:r>
            <w:r w:rsidRPr="005E52EC">
              <w:t>RC</w:t>
            </w:r>
            <w:r w:rsidR="00B5143C">
              <w:t xml:space="preserve"> to</w:t>
            </w:r>
            <w:r w:rsidRPr="005E52EC">
              <w:t xml:space="preserve"> work together to </w:t>
            </w:r>
            <w:r w:rsidR="00B5143C">
              <w:t>adopt certain</w:t>
            </w:r>
            <w:r w:rsidRPr="005E52EC">
              <w:t xml:space="preserve"> rules </w:t>
            </w:r>
            <w:r w:rsidR="00B5143C">
              <w:t>to designate certain</w:t>
            </w:r>
            <w:r w:rsidRPr="005E52EC">
              <w:t xml:space="preserve"> gas</w:t>
            </w:r>
            <w:r w:rsidR="00B5143C">
              <w:t xml:space="preserve"> entities and</w:t>
            </w:r>
            <w:r w:rsidRPr="005E52EC">
              <w:t xml:space="preserve"> facilities </w:t>
            </w:r>
            <w:r w:rsidR="00B5143C">
              <w:t>as</w:t>
            </w:r>
            <w:r w:rsidRPr="005E52EC">
              <w:t xml:space="preserve"> critical</w:t>
            </w:r>
            <w:r w:rsidR="00B5143C">
              <w:t xml:space="preserve"> during</w:t>
            </w:r>
            <w:r w:rsidRPr="005E52EC">
              <w:t xml:space="preserve"> </w:t>
            </w:r>
            <w:r w:rsidR="00B5143C">
              <w:t>an energy emergency</w:t>
            </w:r>
            <w:r w:rsidRPr="005E52EC">
              <w:t>.</w:t>
            </w:r>
          </w:p>
          <w:p w14:paraId="716CBB44" w14:textId="77777777" w:rsidR="008423E4" w:rsidRPr="00E26B13" w:rsidRDefault="008423E4" w:rsidP="003D0A66">
            <w:pPr>
              <w:rPr>
                <w:b/>
              </w:rPr>
            </w:pPr>
          </w:p>
        </w:tc>
      </w:tr>
      <w:tr w:rsidR="0057299C" w14:paraId="540E14A8" w14:textId="77777777" w:rsidTr="00345119">
        <w:tc>
          <w:tcPr>
            <w:tcW w:w="9576" w:type="dxa"/>
          </w:tcPr>
          <w:p w14:paraId="3DCDB195" w14:textId="77777777" w:rsidR="0017725B" w:rsidRDefault="00AF362C" w:rsidP="003D0A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2275E0" w14:textId="77777777" w:rsidR="0017725B" w:rsidRDefault="0017725B" w:rsidP="003D0A66">
            <w:pPr>
              <w:rPr>
                <w:b/>
                <w:u w:val="single"/>
              </w:rPr>
            </w:pPr>
          </w:p>
          <w:p w14:paraId="2010D690" w14:textId="77777777" w:rsidR="00473838" w:rsidRPr="00473838" w:rsidRDefault="00AF362C" w:rsidP="003D0A6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41041107" w14:textId="77777777" w:rsidR="0017725B" w:rsidRPr="0017725B" w:rsidRDefault="0017725B" w:rsidP="003D0A66">
            <w:pPr>
              <w:rPr>
                <w:b/>
                <w:u w:val="single"/>
              </w:rPr>
            </w:pPr>
          </w:p>
        </w:tc>
      </w:tr>
      <w:tr w:rsidR="0057299C" w14:paraId="62093002" w14:textId="77777777" w:rsidTr="00345119">
        <w:tc>
          <w:tcPr>
            <w:tcW w:w="9576" w:type="dxa"/>
          </w:tcPr>
          <w:p w14:paraId="3B3B4613" w14:textId="77777777" w:rsidR="008423E4" w:rsidRPr="00A8133F" w:rsidRDefault="00AF362C" w:rsidP="003D0A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FC26F5" w14:textId="77777777" w:rsidR="008423E4" w:rsidRDefault="008423E4" w:rsidP="003D0A66"/>
          <w:p w14:paraId="436F7FF6" w14:textId="56161B1A" w:rsidR="00473838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 xml:space="preserve">he </w:t>
            </w:r>
            <w:r w:rsidR="00BE3592">
              <w:t xml:space="preserve">Public </w:t>
            </w:r>
            <w:r>
              <w:t xml:space="preserve">Utility Commission of Texas </w:t>
            </w:r>
            <w:r w:rsidR="00C8339F">
              <w:t xml:space="preserve">in SECTION 1 of this bill </w:t>
            </w:r>
            <w:r>
              <w:t xml:space="preserve">and </w:t>
            </w:r>
            <w:r w:rsidR="00C8339F">
              <w:t xml:space="preserve">to </w:t>
            </w:r>
            <w:r>
              <w:t>the Railroad Commission of Texas in SECTION 2 of this bill.</w:t>
            </w:r>
          </w:p>
          <w:p w14:paraId="278CDD0E" w14:textId="77777777" w:rsidR="008423E4" w:rsidRPr="00E21FDC" w:rsidRDefault="008423E4" w:rsidP="003D0A66">
            <w:pPr>
              <w:rPr>
                <w:b/>
              </w:rPr>
            </w:pPr>
          </w:p>
        </w:tc>
      </w:tr>
      <w:tr w:rsidR="0057299C" w14:paraId="45F7D2EB" w14:textId="77777777" w:rsidTr="00345119">
        <w:tc>
          <w:tcPr>
            <w:tcW w:w="9576" w:type="dxa"/>
          </w:tcPr>
          <w:p w14:paraId="1583B956" w14:textId="77777777" w:rsidR="008423E4" w:rsidRPr="00A8133F" w:rsidRDefault="00AF362C" w:rsidP="003D0A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69CE56" w14:textId="77777777" w:rsidR="008423E4" w:rsidRDefault="008423E4" w:rsidP="003D0A66"/>
          <w:p w14:paraId="6B1DBEFD" w14:textId="1C5F7AD8" w:rsidR="00BC7265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</w:t>
            </w:r>
            <w:r w:rsidR="00BE3592">
              <w:t>648</w:t>
            </w:r>
            <w:r>
              <w:t xml:space="preserve"> amends the Utilities Code to require the Public Utility Commission of Texas (PUC) to </w:t>
            </w:r>
            <w:r w:rsidRPr="00C07E2D">
              <w:t xml:space="preserve">work with </w:t>
            </w:r>
            <w:r>
              <w:t xml:space="preserve">the </w:t>
            </w:r>
            <w:r>
              <w:t>Railroad Commission of Texas (RRC)</w:t>
            </w:r>
            <w:r w:rsidRPr="00C07E2D">
              <w:t xml:space="preserve"> and adopt rules to designate certain gas entities and facilities as critical during an energy emergency.</w:t>
            </w:r>
            <w:r>
              <w:t xml:space="preserve"> The bill requires the rules</w:t>
            </w:r>
            <w:r w:rsidR="00DF684B">
              <w:t>, at a minimum,</w:t>
            </w:r>
            <w:r w:rsidR="00B5143C">
              <w:t xml:space="preserve"> </w:t>
            </w:r>
            <w:r>
              <w:t>to do the following:</w:t>
            </w:r>
          </w:p>
          <w:p w14:paraId="6F34D297" w14:textId="15F8697E" w:rsidR="00BC7265" w:rsidRDefault="00AF362C" w:rsidP="003D0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41B4A">
              <w:t>ensure that transmission and distribution utilities,</w:t>
            </w:r>
            <w:r w:rsidRPr="00341B4A">
              <w:t xml:space="preserve"> municipally owned utilities, electric cooperatives, and</w:t>
            </w:r>
            <w:r>
              <w:t xml:space="preserve"> the Electric Reliability Council of Texas (</w:t>
            </w:r>
            <w:r w:rsidRPr="00341B4A">
              <w:t>ERCOT</w:t>
            </w:r>
            <w:r>
              <w:t>)</w:t>
            </w:r>
            <w:r w:rsidRPr="00341B4A">
              <w:t xml:space="preserve"> are provided with the </w:t>
            </w:r>
            <w:r>
              <w:t xml:space="preserve">required </w:t>
            </w:r>
            <w:r w:rsidRPr="00341B4A">
              <w:t>de</w:t>
            </w:r>
            <w:r>
              <w:t>signations</w:t>
            </w:r>
            <w:r w:rsidR="0055161B">
              <w:t>;</w:t>
            </w:r>
          </w:p>
          <w:p w14:paraId="587FCD3C" w14:textId="77777777" w:rsidR="00BC7265" w:rsidRDefault="00AF362C" w:rsidP="003D0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41B4A">
              <w:t>provide for a prioritizati</w:t>
            </w:r>
            <w:r>
              <w:t>on for load-shed purposes of those</w:t>
            </w:r>
            <w:r w:rsidRPr="00341B4A">
              <w:t xml:space="preserve"> </w:t>
            </w:r>
            <w:r>
              <w:t xml:space="preserve">designated entities and facilities </w:t>
            </w:r>
            <w:r w:rsidRPr="00341B4A">
              <w:t xml:space="preserve">during </w:t>
            </w:r>
            <w:r w:rsidRPr="00341B4A">
              <w:t>an energy emergency; and</w:t>
            </w:r>
          </w:p>
          <w:p w14:paraId="39F163AB" w14:textId="24C5FF38" w:rsidR="00BC7265" w:rsidRDefault="00AF362C" w:rsidP="003D0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41B4A">
              <w:t>provide discretion to transmission and distribution utilities, municipally owned utilities, and electric cooperatives to prioritize power delivery and power restoration among the customers on their respective systems, as circumstan</w:t>
            </w:r>
            <w:r w:rsidRPr="00341B4A">
              <w:t>ces require.</w:t>
            </w:r>
            <w:r w:rsidR="00B5143C">
              <w:t xml:space="preserve"> </w:t>
            </w:r>
          </w:p>
          <w:p w14:paraId="7C896E09" w14:textId="77777777" w:rsidR="00BC7265" w:rsidRDefault="00BC7265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EF3BA5C" w14:textId="291A8CF0" w:rsidR="00F1748A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3648 amends the Natural Resources Code to require the require t</w:t>
            </w:r>
            <w:r w:rsidR="00BC7265">
              <w:t>he RRC</w:t>
            </w:r>
            <w:r>
              <w:t xml:space="preserve"> to </w:t>
            </w:r>
            <w:r w:rsidR="00BC7265">
              <w:t>work with the PUC</w:t>
            </w:r>
            <w:r>
              <w:t xml:space="preserve"> </w:t>
            </w:r>
            <w:r w:rsidRPr="00A05008">
              <w:t>to designate certain gas entities and facilities as critical during an energy emergency.</w:t>
            </w:r>
            <w:r>
              <w:t xml:space="preserve"> The bill requires the rules</w:t>
            </w:r>
            <w:r w:rsidR="00DF684B">
              <w:t>, at a minimu</w:t>
            </w:r>
            <w:r w:rsidR="000549DC">
              <w:t>m</w:t>
            </w:r>
            <w:r w:rsidR="00DF684B">
              <w:t>,</w:t>
            </w:r>
            <w:r>
              <w:t xml:space="preserve"> to do the fol</w:t>
            </w:r>
            <w:r>
              <w:t xml:space="preserve">lowing: </w:t>
            </w:r>
          </w:p>
          <w:p w14:paraId="4741485E" w14:textId="0B3DB729" w:rsidR="00F1748A" w:rsidRDefault="00AF362C" w:rsidP="003D0A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816683">
              <w:t>determine eligibility and designation r</w:t>
            </w:r>
            <w:r>
              <w:t xml:space="preserve">equirements for persons owning or </w:t>
            </w:r>
            <w:r w:rsidRPr="00816683">
              <w:t>operating</w:t>
            </w:r>
            <w:r>
              <w:t xml:space="preserve"> pipelines in Texas or engaged in drilling or operating oil or gas wells in Texas</w:t>
            </w:r>
            <w:r w:rsidRPr="00816683">
              <w:t xml:space="preserve"> to provide critical customer designation and critical gas supply information, as de</w:t>
            </w:r>
            <w:r w:rsidRPr="00816683">
              <w:t>fined by the</w:t>
            </w:r>
            <w:r>
              <w:t xml:space="preserve"> </w:t>
            </w:r>
            <w:r w:rsidR="00C8339F">
              <w:t>RRC</w:t>
            </w:r>
            <w:r w:rsidRPr="00816683">
              <w:t>, to transmission and distribution utilities, municipally owned utilities, electric cooperatives, and ERCOT; and</w:t>
            </w:r>
            <w:r>
              <w:t xml:space="preserve"> </w:t>
            </w:r>
          </w:p>
          <w:p w14:paraId="2E821C09" w14:textId="77777777" w:rsidR="00341B4A" w:rsidRDefault="00AF362C" w:rsidP="003D0A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1748A">
              <w:t>consider essential operational elements when defining critical customer designations and critical gas supply information, incl</w:t>
            </w:r>
            <w:r w:rsidRPr="00F1748A">
              <w:t>uding natural gas production, processing, transportation, and the delivery of natural gas to generators.</w:t>
            </w:r>
          </w:p>
          <w:p w14:paraId="507A4F99" w14:textId="77777777" w:rsidR="00264A0D" w:rsidRDefault="00264A0D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15467E" w14:textId="75F3C303" w:rsidR="00C07E2D" w:rsidRPr="009C36CD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DF684B">
              <w:t xml:space="preserve">3648 </w:t>
            </w:r>
            <w:r>
              <w:t>requires the PUC and the RRC to adopt the rules not later than September 1</w:t>
            </w:r>
            <w:r w:rsidR="00184832">
              <w:t>,</w:t>
            </w:r>
            <w:r>
              <w:t xml:space="preserve"> 2021. The bill requires the PUC, not later than January 1, 2022,</w:t>
            </w:r>
            <w:r>
              <w:t xml:space="preserve"> to </w:t>
            </w:r>
            <w:r w:rsidRPr="00264A0D">
              <w:t>provide a report to the legislature regarding its implementation of the designation and prioritization r</w:t>
            </w:r>
            <w:r>
              <w:t>equirements</w:t>
            </w:r>
            <w:r w:rsidRPr="00264A0D">
              <w:t>.</w:t>
            </w:r>
          </w:p>
          <w:p w14:paraId="0C3E1D54" w14:textId="77777777" w:rsidR="008423E4" w:rsidRPr="00835628" w:rsidRDefault="008423E4" w:rsidP="003D0A66">
            <w:pPr>
              <w:rPr>
                <w:b/>
              </w:rPr>
            </w:pPr>
          </w:p>
        </w:tc>
      </w:tr>
      <w:tr w:rsidR="0057299C" w14:paraId="40FA8F3F" w14:textId="77777777" w:rsidTr="00345119">
        <w:tc>
          <w:tcPr>
            <w:tcW w:w="9576" w:type="dxa"/>
          </w:tcPr>
          <w:p w14:paraId="4F634C13" w14:textId="77777777" w:rsidR="008423E4" w:rsidRPr="00A8133F" w:rsidRDefault="00AF362C" w:rsidP="003D0A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6A526A" w14:textId="77777777" w:rsidR="008423E4" w:rsidRDefault="008423E4" w:rsidP="003D0A66"/>
          <w:p w14:paraId="1CE87A5C" w14:textId="77777777" w:rsidR="008423E4" w:rsidRPr="003624F2" w:rsidRDefault="00AF362C" w:rsidP="003D0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DAAEAB3" w14:textId="77777777" w:rsidR="008423E4" w:rsidRPr="00233FDB" w:rsidRDefault="008423E4" w:rsidP="003D0A66">
            <w:pPr>
              <w:rPr>
                <w:b/>
              </w:rPr>
            </w:pPr>
          </w:p>
        </w:tc>
      </w:tr>
    </w:tbl>
    <w:p w14:paraId="675642E5" w14:textId="77777777" w:rsidR="008423E4" w:rsidRPr="00BE0E75" w:rsidRDefault="008423E4" w:rsidP="003D0A66">
      <w:pPr>
        <w:jc w:val="both"/>
        <w:rPr>
          <w:rFonts w:ascii="Arial" w:hAnsi="Arial"/>
          <w:sz w:val="16"/>
          <w:szCs w:val="16"/>
        </w:rPr>
      </w:pPr>
    </w:p>
    <w:p w14:paraId="73513151" w14:textId="77777777" w:rsidR="004108C3" w:rsidRPr="008423E4" w:rsidRDefault="004108C3" w:rsidP="003D0A6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EF00" w14:textId="77777777" w:rsidR="00000000" w:rsidRDefault="00AF362C">
      <w:r>
        <w:separator/>
      </w:r>
    </w:p>
  </w:endnote>
  <w:endnote w:type="continuationSeparator" w:id="0">
    <w:p w14:paraId="1A92CC77" w14:textId="77777777" w:rsidR="00000000" w:rsidRDefault="00A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A7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299C" w14:paraId="48956043" w14:textId="77777777" w:rsidTr="009C1E9A">
      <w:trPr>
        <w:cantSplit/>
      </w:trPr>
      <w:tc>
        <w:tcPr>
          <w:tcW w:w="0" w:type="pct"/>
        </w:tcPr>
        <w:p w14:paraId="2CF62E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728D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BA37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E565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8684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99C" w14:paraId="2AF5ED1C" w14:textId="77777777" w:rsidTr="009C1E9A">
      <w:trPr>
        <w:cantSplit/>
      </w:trPr>
      <w:tc>
        <w:tcPr>
          <w:tcW w:w="0" w:type="pct"/>
        </w:tcPr>
        <w:p w14:paraId="259AD4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DD4DEE" w14:textId="63E3B0FB" w:rsidR="00EC379B" w:rsidRPr="009C1E9A" w:rsidRDefault="00AF36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18794</w:t>
          </w:r>
        </w:p>
      </w:tc>
      <w:tc>
        <w:tcPr>
          <w:tcW w:w="2453" w:type="pct"/>
        </w:tcPr>
        <w:p w14:paraId="28038AF0" w14:textId="59A86773" w:rsidR="00EC379B" w:rsidRDefault="00AF36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5CA0">
            <w:t>21.100.229</w:t>
          </w:r>
          <w:r>
            <w:fldChar w:fldCharType="end"/>
          </w:r>
        </w:p>
      </w:tc>
    </w:tr>
    <w:tr w:rsidR="0057299C" w14:paraId="5FBA70E0" w14:textId="77777777" w:rsidTr="009C1E9A">
      <w:trPr>
        <w:cantSplit/>
      </w:trPr>
      <w:tc>
        <w:tcPr>
          <w:tcW w:w="0" w:type="pct"/>
        </w:tcPr>
        <w:p w14:paraId="37960F6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DADB0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110B2B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A512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99C" w14:paraId="498A99C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8927BB" w14:textId="72EE87E6" w:rsidR="00EC379B" w:rsidRDefault="00AF36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10D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EC5E9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3B0D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301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4DB1" w14:textId="77777777" w:rsidR="00000000" w:rsidRDefault="00AF362C">
      <w:r>
        <w:separator/>
      </w:r>
    </w:p>
  </w:footnote>
  <w:footnote w:type="continuationSeparator" w:id="0">
    <w:p w14:paraId="61F14C4F" w14:textId="77777777" w:rsidR="00000000" w:rsidRDefault="00AF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15B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E0B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304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3F7E"/>
    <w:multiLevelType w:val="hybridMultilevel"/>
    <w:tmpl w:val="048CD896"/>
    <w:lvl w:ilvl="0" w:tplc="DD988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A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CE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A8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B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CA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64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4E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472"/>
    <w:multiLevelType w:val="hybridMultilevel"/>
    <w:tmpl w:val="509003BC"/>
    <w:lvl w:ilvl="0" w:tplc="36B64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0D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AC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8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4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AA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9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EB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D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D"/>
    <w:rsid w:val="000008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1B2"/>
    <w:rsid w:val="00043B84"/>
    <w:rsid w:val="0004512B"/>
    <w:rsid w:val="000463F0"/>
    <w:rsid w:val="00046BDA"/>
    <w:rsid w:val="0004762E"/>
    <w:rsid w:val="000532BD"/>
    <w:rsid w:val="000549DC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20F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83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A0D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B51"/>
    <w:rsid w:val="002C1C17"/>
    <w:rsid w:val="002C3203"/>
    <w:rsid w:val="002C3B07"/>
    <w:rsid w:val="002C532B"/>
    <w:rsid w:val="002C5713"/>
    <w:rsid w:val="002C6818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B4A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A6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838"/>
    <w:rsid w:val="00474927"/>
    <w:rsid w:val="00475913"/>
    <w:rsid w:val="00480080"/>
    <w:rsid w:val="004824A7"/>
    <w:rsid w:val="00483AF0"/>
    <w:rsid w:val="00484167"/>
    <w:rsid w:val="0049199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CA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B56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E6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61B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99C"/>
    <w:rsid w:val="00573401"/>
    <w:rsid w:val="00576714"/>
    <w:rsid w:val="0057685A"/>
    <w:rsid w:val="005773C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2EC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D0F"/>
    <w:rsid w:val="006C3AAD"/>
    <w:rsid w:val="006C4709"/>
    <w:rsid w:val="006D3005"/>
    <w:rsid w:val="006D504F"/>
    <w:rsid w:val="006E0CAC"/>
    <w:rsid w:val="006E1303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493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683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00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F5A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62C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43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19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265"/>
    <w:rsid w:val="00BD0A32"/>
    <w:rsid w:val="00BD2303"/>
    <w:rsid w:val="00BD31C2"/>
    <w:rsid w:val="00BD4E55"/>
    <w:rsid w:val="00BD513B"/>
    <w:rsid w:val="00BD5E52"/>
    <w:rsid w:val="00BE00CD"/>
    <w:rsid w:val="00BE0E75"/>
    <w:rsid w:val="00BE1789"/>
    <w:rsid w:val="00BE3592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E2D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B4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39F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782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84B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388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23E"/>
    <w:rsid w:val="00E667F3"/>
    <w:rsid w:val="00E67794"/>
    <w:rsid w:val="00E70CC6"/>
    <w:rsid w:val="00E710D5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48A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B13A0-0C34-4598-96C0-52E482A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5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0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3100</Characters>
  <Application>Microsoft Office Word</Application>
  <DocSecurity>4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HB03648 (Committee Report (Unamended))</vt:lpstr>
    </vt:vector>
  </TitlesOfParts>
  <Company>State of Texas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18794</dc:subject>
  <dc:creator>State of Texas</dc:creator>
  <dc:description>HB 3648 by Geren-(H)Energy Resources</dc:description>
  <cp:lastModifiedBy>Emma Bodisch</cp:lastModifiedBy>
  <cp:revision>2</cp:revision>
  <cp:lastPrinted>2003-11-26T17:21:00Z</cp:lastPrinted>
  <dcterms:created xsi:type="dcterms:W3CDTF">2021-04-12T22:16:00Z</dcterms:created>
  <dcterms:modified xsi:type="dcterms:W3CDTF">2021-04-12T22:16:00Z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21.100.229</vt:lpwstr>
  </property>
</Properties>
</file>