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F49DF" w14:paraId="0CA0D418" w14:textId="77777777" w:rsidTr="00345119">
        <w:tc>
          <w:tcPr>
            <w:tcW w:w="9576" w:type="dxa"/>
            <w:noWrap/>
          </w:tcPr>
          <w:p w14:paraId="3B9635F5" w14:textId="77777777" w:rsidR="008423E4" w:rsidRPr="0022177D" w:rsidRDefault="00366184" w:rsidP="005D19B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F567A6" w14:textId="77777777" w:rsidR="008423E4" w:rsidRPr="0022177D" w:rsidRDefault="008423E4" w:rsidP="005D19BE">
      <w:pPr>
        <w:jc w:val="center"/>
      </w:pPr>
    </w:p>
    <w:p w14:paraId="3196175C" w14:textId="77777777" w:rsidR="008423E4" w:rsidRPr="00B31F0E" w:rsidRDefault="008423E4" w:rsidP="005D19BE"/>
    <w:p w14:paraId="660AE5E8" w14:textId="77777777" w:rsidR="008423E4" w:rsidRPr="00742794" w:rsidRDefault="008423E4" w:rsidP="005D19B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49DF" w14:paraId="15C63804" w14:textId="77777777" w:rsidTr="00345119">
        <w:tc>
          <w:tcPr>
            <w:tcW w:w="9576" w:type="dxa"/>
          </w:tcPr>
          <w:p w14:paraId="4B22EC0B" w14:textId="1D0F5FC6" w:rsidR="008423E4" w:rsidRPr="00861995" w:rsidRDefault="00366184" w:rsidP="005D19BE">
            <w:pPr>
              <w:jc w:val="right"/>
            </w:pPr>
            <w:r>
              <w:t>C.S.H.B. 3662</w:t>
            </w:r>
          </w:p>
        </w:tc>
      </w:tr>
      <w:tr w:rsidR="00BF49DF" w14:paraId="23496D7A" w14:textId="77777777" w:rsidTr="00345119">
        <w:tc>
          <w:tcPr>
            <w:tcW w:w="9576" w:type="dxa"/>
          </w:tcPr>
          <w:p w14:paraId="705FB902" w14:textId="433BA990" w:rsidR="008423E4" w:rsidRPr="00861995" w:rsidRDefault="00366184" w:rsidP="005D19BE">
            <w:pPr>
              <w:jc w:val="right"/>
            </w:pPr>
            <w:r>
              <w:t xml:space="preserve">By: </w:t>
            </w:r>
            <w:r w:rsidR="001C4A1B">
              <w:t>Buckley</w:t>
            </w:r>
          </w:p>
        </w:tc>
      </w:tr>
      <w:tr w:rsidR="00BF49DF" w14:paraId="4CF91A55" w14:textId="77777777" w:rsidTr="00345119">
        <w:tc>
          <w:tcPr>
            <w:tcW w:w="9576" w:type="dxa"/>
          </w:tcPr>
          <w:p w14:paraId="52F99C96" w14:textId="1AF30BA4" w:rsidR="008423E4" w:rsidRPr="00861995" w:rsidRDefault="00366184" w:rsidP="005D19BE">
            <w:pPr>
              <w:jc w:val="right"/>
            </w:pPr>
            <w:r>
              <w:t>Human Services</w:t>
            </w:r>
          </w:p>
        </w:tc>
      </w:tr>
      <w:tr w:rsidR="00BF49DF" w14:paraId="7C7118AB" w14:textId="77777777" w:rsidTr="00345119">
        <w:tc>
          <w:tcPr>
            <w:tcW w:w="9576" w:type="dxa"/>
          </w:tcPr>
          <w:p w14:paraId="0B7401AE" w14:textId="166CD64D" w:rsidR="008423E4" w:rsidRDefault="00366184" w:rsidP="005D19BE">
            <w:pPr>
              <w:jc w:val="right"/>
            </w:pPr>
            <w:r>
              <w:t>Committee Report (Substituted)</w:t>
            </w:r>
          </w:p>
        </w:tc>
      </w:tr>
    </w:tbl>
    <w:p w14:paraId="19CC5B9F" w14:textId="77777777" w:rsidR="008423E4" w:rsidRPr="005D19BE" w:rsidRDefault="008423E4" w:rsidP="005D19BE">
      <w:pPr>
        <w:tabs>
          <w:tab w:val="right" w:pos="9360"/>
        </w:tabs>
        <w:rPr>
          <w:sz w:val="22"/>
        </w:rPr>
      </w:pPr>
    </w:p>
    <w:p w14:paraId="4FE3B435" w14:textId="77777777" w:rsidR="008423E4" w:rsidRPr="005D19BE" w:rsidRDefault="008423E4" w:rsidP="005D19BE">
      <w:pPr>
        <w:rPr>
          <w:sz w:val="22"/>
        </w:rPr>
      </w:pPr>
    </w:p>
    <w:p w14:paraId="6D854019" w14:textId="77777777" w:rsidR="008423E4" w:rsidRPr="005D19BE" w:rsidRDefault="008423E4" w:rsidP="005D19BE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F49DF" w14:paraId="6087D230" w14:textId="77777777" w:rsidTr="00A94B93">
        <w:tc>
          <w:tcPr>
            <w:tcW w:w="9360" w:type="dxa"/>
          </w:tcPr>
          <w:p w14:paraId="2BF90009" w14:textId="77777777" w:rsidR="008423E4" w:rsidRPr="00A8133F" w:rsidRDefault="00366184" w:rsidP="005D19B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A8323FA" w14:textId="77777777" w:rsidR="008423E4" w:rsidRDefault="008423E4" w:rsidP="005D19BE"/>
          <w:p w14:paraId="6407E4F7" w14:textId="02B9EC06" w:rsidR="008423E4" w:rsidRDefault="00366184" w:rsidP="005D19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262A78">
              <w:t>urrently</w:t>
            </w:r>
            <w:r>
              <w:t xml:space="preserve">, </w:t>
            </w:r>
            <w:r w:rsidR="00791513">
              <w:t>the Health and Human Services Commission</w:t>
            </w:r>
            <w:r w:rsidR="005100E3">
              <w:t xml:space="preserve"> (HHSC)</w:t>
            </w:r>
            <w:r w:rsidR="00791513">
              <w:t xml:space="preserve"> </w:t>
            </w:r>
            <w:r>
              <w:t xml:space="preserve">must </w:t>
            </w:r>
            <w:r w:rsidR="00791513">
              <w:t xml:space="preserve">contract with </w:t>
            </w:r>
            <w:r w:rsidR="00262A78" w:rsidRPr="00262A78">
              <w:t>managed care</w:t>
            </w:r>
            <w:r w:rsidR="00791513">
              <w:t xml:space="preserve"> organizations (MCOs) that are associated with hospital districts to provide health care services to Medicaid recipients in the various health care service regions across Texas</w:t>
            </w:r>
            <w:r w:rsidR="00262A78" w:rsidRPr="00262A78">
              <w:t xml:space="preserve">. </w:t>
            </w:r>
            <w:r w:rsidR="00791513">
              <w:t>MCOs offering c</w:t>
            </w:r>
            <w:r w:rsidR="00262A78" w:rsidRPr="00262A78">
              <w:t xml:space="preserve">ommunity-based health plans </w:t>
            </w:r>
            <w:r>
              <w:t xml:space="preserve">that lack a </w:t>
            </w:r>
            <w:r w:rsidR="00262A78" w:rsidRPr="00262A78">
              <w:t xml:space="preserve">hospital district </w:t>
            </w:r>
            <w:r w:rsidR="00262A78">
              <w:t xml:space="preserve">with which </w:t>
            </w:r>
            <w:r w:rsidR="00262A78" w:rsidRPr="00262A78">
              <w:t xml:space="preserve">to partner </w:t>
            </w:r>
            <w:r w:rsidR="00262A78">
              <w:t xml:space="preserve">have expressed </w:t>
            </w:r>
            <w:r>
              <w:t>interest i</w:t>
            </w:r>
            <w:r>
              <w:t xml:space="preserve">n creating </w:t>
            </w:r>
            <w:r w:rsidR="00262A78" w:rsidRPr="00262A78">
              <w:t xml:space="preserve">more choice for managed care </w:t>
            </w:r>
            <w:r w:rsidR="00791513">
              <w:t xml:space="preserve">recipients </w:t>
            </w:r>
            <w:r w:rsidR="00262A78">
              <w:t>but are not afforded the same opportunity to do so</w:t>
            </w:r>
            <w:r w:rsidR="00262A78" w:rsidRPr="00262A78">
              <w:t>.</w:t>
            </w:r>
            <w:r w:rsidR="00262A78">
              <w:t xml:space="preserve"> C.S.H.B.</w:t>
            </w:r>
            <w:r w:rsidR="00262A78" w:rsidRPr="00262A78">
              <w:t xml:space="preserve"> 3662 </w:t>
            </w:r>
            <w:r w:rsidR="00262A78">
              <w:t>seeks to</w:t>
            </w:r>
            <w:r w:rsidR="00262A78" w:rsidRPr="00262A78">
              <w:t xml:space="preserve"> allow </w:t>
            </w:r>
            <w:r w:rsidR="00791513">
              <w:t xml:space="preserve">these </w:t>
            </w:r>
            <w:r w:rsidR="00262A78" w:rsidRPr="00262A78">
              <w:t xml:space="preserve">high-quality health plans to reach more Medicaid recipients in Texas by </w:t>
            </w:r>
            <w:r w:rsidR="00791513">
              <w:t>allowing HHSC</w:t>
            </w:r>
            <w:r w:rsidR="00262A78" w:rsidRPr="00262A78">
              <w:t xml:space="preserve"> </w:t>
            </w:r>
            <w:r w:rsidR="00791513">
              <w:t xml:space="preserve">to contract with </w:t>
            </w:r>
            <w:r w:rsidR="004C54AB">
              <w:t xml:space="preserve">these </w:t>
            </w:r>
            <w:r w:rsidR="00791513">
              <w:t>MCOs to provide services</w:t>
            </w:r>
            <w:r w:rsidR="004C54AB">
              <w:t xml:space="preserve"> under certain circumstances</w:t>
            </w:r>
            <w:r w:rsidR="00262A78" w:rsidRPr="00262A78">
              <w:t>.</w:t>
            </w:r>
          </w:p>
          <w:p w14:paraId="1DE7CBF2" w14:textId="77777777" w:rsidR="008423E4" w:rsidRPr="00E26B13" w:rsidRDefault="008423E4" w:rsidP="005D19BE">
            <w:pPr>
              <w:rPr>
                <w:b/>
              </w:rPr>
            </w:pPr>
          </w:p>
        </w:tc>
      </w:tr>
      <w:tr w:rsidR="00BF49DF" w14:paraId="2D1C35E0" w14:textId="77777777" w:rsidTr="00A94B93">
        <w:tc>
          <w:tcPr>
            <w:tcW w:w="9360" w:type="dxa"/>
          </w:tcPr>
          <w:p w14:paraId="55975C05" w14:textId="77777777" w:rsidR="0017725B" w:rsidRDefault="00366184" w:rsidP="005D19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AB20AD4" w14:textId="77777777" w:rsidR="0017725B" w:rsidRDefault="0017725B" w:rsidP="005D19BE">
            <w:pPr>
              <w:rPr>
                <w:b/>
                <w:u w:val="single"/>
              </w:rPr>
            </w:pPr>
          </w:p>
          <w:p w14:paraId="0B5626C8" w14:textId="77777777" w:rsidR="007B001E" w:rsidRPr="007B001E" w:rsidRDefault="00366184" w:rsidP="005D19B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14:paraId="031A903D" w14:textId="77777777" w:rsidR="0017725B" w:rsidRPr="0017725B" w:rsidRDefault="0017725B" w:rsidP="005D19BE">
            <w:pPr>
              <w:rPr>
                <w:b/>
                <w:u w:val="single"/>
              </w:rPr>
            </w:pPr>
          </w:p>
        </w:tc>
      </w:tr>
      <w:tr w:rsidR="00BF49DF" w14:paraId="51BC3161" w14:textId="77777777" w:rsidTr="00A94B93">
        <w:tc>
          <w:tcPr>
            <w:tcW w:w="9360" w:type="dxa"/>
          </w:tcPr>
          <w:p w14:paraId="2E4B9152" w14:textId="77777777" w:rsidR="008423E4" w:rsidRPr="00A8133F" w:rsidRDefault="00366184" w:rsidP="005D19B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412B116" w14:textId="77777777" w:rsidR="008423E4" w:rsidRDefault="008423E4" w:rsidP="005D19BE"/>
          <w:p w14:paraId="7C20589A" w14:textId="77777777" w:rsidR="007B001E" w:rsidRDefault="00366184" w:rsidP="005D19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</w:t>
            </w:r>
            <w:r>
              <w:t>cy, or institution.</w:t>
            </w:r>
          </w:p>
          <w:p w14:paraId="7FF41450" w14:textId="77777777" w:rsidR="008423E4" w:rsidRPr="00E21FDC" w:rsidRDefault="008423E4" w:rsidP="005D19BE">
            <w:pPr>
              <w:rPr>
                <w:b/>
              </w:rPr>
            </w:pPr>
          </w:p>
        </w:tc>
      </w:tr>
      <w:tr w:rsidR="00BF49DF" w14:paraId="7ABBC028" w14:textId="77777777" w:rsidTr="00A94B93">
        <w:tc>
          <w:tcPr>
            <w:tcW w:w="9360" w:type="dxa"/>
          </w:tcPr>
          <w:p w14:paraId="3BBF3ADE" w14:textId="77777777" w:rsidR="008423E4" w:rsidRPr="00A8133F" w:rsidRDefault="00366184" w:rsidP="005D19B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422E51" w14:textId="77777777" w:rsidR="008423E4" w:rsidRDefault="008423E4" w:rsidP="005D19BE"/>
          <w:p w14:paraId="3D074B2F" w14:textId="77777777" w:rsidR="00C06113" w:rsidRDefault="00366184" w:rsidP="005D19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F11D9">
              <w:t>H.B. 3662 amends the Government Code to require the Health and Human Services</w:t>
            </w:r>
            <w:r w:rsidR="00E07AE8">
              <w:t xml:space="preserve"> Commission</w:t>
            </w:r>
            <w:r w:rsidR="001F11D9">
              <w:t xml:space="preserve"> (HHSC), in providing health care services through Medicaid managed care to recipients in a health care service region, to </w:t>
            </w:r>
            <w:r w:rsidR="001F11D9" w:rsidRPr="001F11D9">
              <w:t>contract with a</w:t>
            </w:r>
            <w:r w:rsidR="00961C22">
              <w:t>n appropriately licensed</w:t>
            </w:r>
            <w:r w:rsidR="001F11D9" w:rsidRPr="001F11D9">
              <w:t xml:space="preserve"> </w:t>
            </w:r>
            <w:r w:rsidR="007B001E">
              <w:t xml:space="preserve">managed care organization (MCO) in that region that is </w:t>
            </w:r>
            <w:r w:rsidR="007E2637">
              <w:t xml:space="preserve">wholly owned by a </w:t>
            </w:r>
            <w:r w:rsidR="001F11D9" w:rsidRPr="001F11D9">
              <w:t xml:space="preserve">provider-sponsored health organization </w:t>
            </w:r>
            <w:r>
              <w:t>that owns and operates</w:t>
            </w:r>
            <w:r w:rsidRPr="001F11D9">
              <w:t xml:space="preserve"> </w:t>
            </w:r>
            <w:r>
              <w:t>a state-licensed hospital that is located in the region and</w:t>
            </w:r>
            <w:r w:rsidRPr="001F11D9">
              <w:t xml:space="preserve"> </w:t>
            </w:r>
            <w:r w:rsidR="001F11D9" w:rsidRPr="001F11D9">
              <w:t>two trauma facilities designated as level I trauma facilities by the Depa</w:t>
            </w:r>
            <w:r w:rsidR="001F11D9">
              <w:t>rtment of State Health Services</w:t>
            </w:r>
            <w:r>
              <w:t xml:space="preserve"> that are located in different trauma service areas</w:t>
            </w:r>
            <w:r w:rsidR="001F11D9">
              <w:t xml:space="preserve">, </w:t>
            </w:r>
            <w:r w:rsidR="004C54AB">
              <w:t>contingent on</w:t>
            </w:r>
            <w:r w:rsidR="001F11D9">
              <w:t xml:space="preserve"> HHSC</w:t>
            </w:r>
            <w:r w:rsidR="001F11D9" w:rsidRPr="001F11D9">
              <w:t xml:space="preserve"> not hav</w:t>
            </w:r>
            <w:r w:rsidR="004C54AB">
              <w:t>ing</w:t>
            </w:r>
            <w:r w:rsidR="001F11D9" w:rsidRPr="001F11D9">
              <w:t xml:space="preserve"> an existing contract </w:t>
            </w:r>
            <w:r>
              <w:t xml:space="preserve">on September 1, 2021, </w:t>
            </w:r>
            <w:r w:rsidR="001F11D9" w:rsidRPr="001F11D9">
              <w:t xml:space="preserve">with </w:t>
            </w:r>
            <w:r>
              <w:t>one of the following:</w:t>
            </w:r>
          </w:p>
          <w:p w14:paraId="329D1384" w14:textId="77777777" w:rsidR="00C06113" w:rsidRDefault="00366184" w:rsidP="005D19B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1F11D9">
              <w:t>a</w:t>
            </w:r>
            <w:r w:rsidR="00F63D26">
              <w:t>n</w:t>
            </w:r>
            <w:r w:rsidRPr="001F11D9">
              <w:t xml:space="preserve"> </w:t>
            </w:r>
            <w:r w:rsidR="007B001E">
              <w:t>MCO that is wholly owned and operated by a hospital district in th</w:t>
            </w:r>
            <w:r w:rsidR="00F63D26">
              <w:t>e</w:t>
            </w:r>
            <w:r w:rsidR="007B001E">
              <w:t xml:space="preserve"> region</w:t>
            </w:r>
            <w:r>
              <w:t>;</w:t>
            </w:r>
            <w:r w:rsidR="00F63D26">
              <w:t xml:space="preserve"> or </w:t>
            </w:r>
          </w:p>
          <w:p w14:paraId="2FF7A0D5" w14:textId="786A3C7A" w:rsidR="009C36CD" w:rsidRPr="009C36CD" w:rsidRDefault="00366184" w:rsidP="005D19B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MCO </w:t>
            </w:r>
            <w:r w:rsidR="00F63D26">
              <w:t xml:space="preserve">that is created by a qualifying nonprofit corporation </w:t>
            </w:r>
            <w:r w:rsidR="00791513">
              <w:t xml:space="preserve">that coordinates with a hospital district </w:t>
            </w:r>
            <w:r w:rsidR="00F63D26">
              <w:t>in the region</w:t>
            </w:r>
            <w:r>
              <w:t xml:space="preserve"> or with a municipality that owns a state-licensed hospital with an indigent care obligation</w:t>
            </w:r>
            <w:r w:rsidR="007B001E">
              <w:t>.</w:t>
            </w:r>
          </w:p>
          <w:p w14:paraId="49E1E930" w14:textId="77777777" w:rsidR="008423E4" w:rsidRPr="00835628" w:rsidRDefault="008423E4" w:rsidP="005D19BE">
            <w:pPr>
              <w:rPr>
                <w:b/>
              </w:rPr>
            </w:pPr>
          </w:p>
        </w:tc>
      </w:tr>
      <w:tr w:rsidR="00BF49DF" w14:paraId="2522130D" w14:textId="77777777" w:rsidTr="00A94B93">
        <w:tc>
          <w:tcPr>
            <w:tcW w:w="9360" w:type="dxa"/>
          </w:tcPr>
          <w:p w14:paraId="0FC7CA0D" w14:textId="77777777" w:rsidR="008423E4" w:rsidRPr="00A8133F" w:rsidRDefault="00366184" w:rsidP="005D19B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E9F1096" w14:textId="77777777" w:rsidR="008423E4" w:rsidRDefault="008423E4" w:rsidP="005D19BE"/>
          <w:p w14:paraId="374C4FB7" w14:textId="77777777" w:rsidR="008423E4" w:rsidRPr="003624F2" w:rsidRDefault="00366184" w:rsidP="005D19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59AF7D3" w14:textId="77777777" w:rsidR="008423E4" w:rsidRPr="00233FDB" w:rsidRDefault="008423E4" w:rsidP="005D19BE">
            <w:pPr>
              <w:rPr>
                <w:b/>
              </w:rPr>
            </w:pPr>
          </w:p>
        </w:tc>
      </w:tr>
      <w:tr w:rsidR="00BF49DF" w14:paraId="2D79A2BD" w14:textId="77777777" w:rsidTr="00A94B93">
        <w:tc>
          <w:tcPr>
            <w:tcW w:w="9360" w:type="dxa"/>
          </w:tcPr>
          <w:p w14:paraId="3347A832" w14:textId="77777777" w:rsidR="001C4A1B" w:rsidRPr="001831F5" w:rsidRDefault="00366184" w:rsidP="005D19BE">
            <w:pPr>
              <w:jc w:val="both"/>
              <w:rPr>
                <w:b/>
                <w:u w:val="single"/>
              </w:rPr>
            </w:pPr>
            <w:r w:rsidRPr="001831F5">
              <w:rPr>
                <w:b/>
                <w:u w:val="single"/>
              </w:rPr>
              <w:t>COMPARISON OF ORIGINAL AND SUBSTITUTE</w:t>
            </w:r>
          </w:p>
          <w:p w14:paraId="06B823FD" w14:textId="77777777" w:rsidR="00262A78" w:rsidRDefault="00262A78" w:rsidP="005D19BE">
            <w:pPr>
              <w:jc w:val="both"/>
              <w:rPr>
                <w:b/>
                <w:u w:val="single"/>
              </w:rPr>
            </w:pPr>
          </w:p>
          <w:p w14:paraId="33A937AC" w14:textId="77777777" w:rsidR="005D19BE" w:rsidRDefault="00366184" w:rsidP="005D19BE">
            <w:pPr>
              <w:jc w:val="both"/>
            </w:pPr>
            <w:r>
              <w:t>While C.S.H.B. 366</w:t>
            </w:r>
            <w:r>
              <w:t>2 may differ from the original in minor or nonsubstantive ways, the following summarizes the substantial differences between the introduced and committee substitute versions of the bill.</w:t>
            </w:r>
          </w:p>
          <w:p w14:paraId="7DC98C1C" w14:textId="77777777" w:rsidR="005D19BE" w:rsidRDefault="005D19BE" w:rsidP="005D19BE">
            <w:pPr>
              <w:jc w:val="both"/>
            </w:pPr>
          </w:p>
          <w:p w14:paraId="38110B14" w14:textId="77777777" w:rsidR="005D19BE" w:rsidRDefault="00366184" w:rsidP="005D19BE">
            <w:pPr>
              <w:jc w:val="both"/>
            </w:pPr>
            <w:r>
              <w:t>The substitute makes the following changes with respect to the contr</w:t>
            </w:r>
            <w:r>
              <w:t>acting requirement:</w:t>
            </w:r>
          </w:p>
          <w:p w14:paraId="00E2D051" w14:textId="77777777" w:rsidR="005D19BE" w:rsidRDefault="00366184" w:rsidP="005D19B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regarding the applicability of the requirement:</w:t>
            </w:r>
          </w:p>
          <w:p w14:paraId="185E62EF" w14:textId="77777777" w:rsidR="005D19BE" w:rsidRDefault="00366184" w:rsidP="005D19BE">
            <w:pPr>
              <w:pStyle w:val="ListParagraph"/>
              <w:numPr>
                <w:ilvl w:val="1"/>
                <w:numId w:val="1"/>
              </w:numPr>
              <w:contextualSpacing w:val="0"/>
              <w:jc w:val="both"/>
            </w:pPr>
            <w:r>
              <w:t>includes MCOs created by qualifying nonprofit corporations with which HHSC must not already have a contract for the requirement to apply; and</w:t>
            </w:r>
          </w:p>
          <w:p w14:paraId="78062471" w14:textId="77777777" w:rsidR="005D19BE" w:rsidRDefault="00366184" w:rsidP="005D19BE">
            <w:pPr>
              <w:pStyle w:val="ListParagraph"/>
              <w:numPr>
                <w:ilvl w:val="1"/>
                <w:numId w:val="1"/>
              </w:numPr>
              <w:contextualSpacing w:val="0"/>
              <w:jc w:val="both"/>
            </w:pPr>
            <w:r>
              <w:t>establishes a cutoff date of September 1, 2021, for an existing contract with an MCO to be in place for the requirement to not be applicable; and</w:t>
            </w:r>
          </w:p>
          <w:p w14:paraId="1EB1028B" w14:textId="77777777" w:rsidR="005D19BE" w:rsidRDefault="00366184" w:rsidP="005D19B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regarding the requirements for the MCO with which HHSC must contract if the requirement applies:</w:t>
            </w:r>
          </w:p>
          <w:p w14:paraId="24989CE0" w14:textId="77777777" w:rsidR="005D19BE" w:rsidRDefault="00366184" w:rsidP="005D19BE">
            <w:pPr>
              <w:pStyle w:val="ListParagraph"/>
              <w:numPr>
                <w:ilvl w:val="1"/>
                <w:numId w:val="1"/>
              </w:numPr>
              <w:contextualSpacing w:val="0"/>
              <w:jc w:val="both"/>
            </w:pPr>
            <w:r>
              <w:t>specifies tha</w:t>
            </w:r>
            <w:r>
              <w:t>t the two trauma facilities be located in different trauma service areas; and</w:t>
            </w:r>
          </w:p>
          <w:p w14:paraId="613AF298" w14:textId="1361A8E2" w:rsidR="005D19BE" w:rsidRPr="005D19BE" w:rsidRDefault="00366184" w:rsidP="005D19BE">
            <w:pPr>
              <w:pStyle w:val="ListParagraph"/>
              <w:numPr>
                <w:ilvl w:val="1"/>
                <w:numId w:val="1"/>
              </w:numPr>
              <w:contextualSpacing w:val="0"/>
              <w:jc w:val="both"/>
            </w:pPr>
            <w:r>
              <w:t>requires that the MCO also own and operate a state-licensed hospital in the region.</w:t>
            </w:r>
          </w:p>
        </w:tc>
      </w:tr>
      <w:tr w:rsidR="00BF49DF" w14:paraId="75FA4436" w14:textId="77777777" w:rsidTr="00A94B93">
        <w:tc>
          <w:tcPr>
            <w:tcW w:w="9360" w:type="dxa"/>
          </w:tcPr>
          <w:p w14:paraId="5D7BEB2F" w14:textId="7673B516" w:rsidR="00B20FA5" w:rsidRPr="005D19BE" w:rsidRDefault="00B20FA5" w:rsidP="005D19BE">
            <w:pPr>
              <w:jc w:val="both"/>
              <w:rPr>
                <w:b/>
                <w:u w:val="single"/>
              </w:rPr>
            </w:pPr>
          </w:p>
        </w:tc>
      </w:tr>
      <w:tr w:rsidR="00BF49DF" w14:paraId="6E782F1B" w14:textId="77777777" w:rsidTr="00A94B93">
        <w:tc>
          <w:tcPr>
            <w:tcW w:w="9360" w:type="dxa"/>
          </w:tcPr>
          <w:p w14:paraId="42987974" w14:textId="77777777" w:rsidR="00B20FA5" w:rsidRPr="001C4A1B" w:rsidRDefault="00B20FA5" w:rsidP="005D19BE">
            <w:pPr>
              <w:jc w:val="both"/>
            </w:pPr>
          </w:p>
        </w:tc>
      </w:tr>
      <w:tr w:rsidR="00BF49DF" w14:paraId="4C69EA08" w14:textId="77777777" w:rsidTr="00A94B93">
        <w:tc>
          <w:tcPr>
            <w:tcW w:w="9360" w:type="dxa"/>
          </w:tcPr>
          <w:p w14:paraId="619280F4" w14:textId="77777777" w:rsidR="001C4A1B" w:rsidRPr="00F63D26" w:rsidRDefault="001C4A1B" w:rsidP="005D19BE">
            <w:pPr>
              <w:jc w:val="both"/>
            </w:pPr>
          </w:p>
        </w:tc>
      </w:tr>
    </w:tbl>
    <w:p w14:paraId="199BE626" w14:textId="77777777" w:rsidR="004108C3" w:rsidRPr="008423E4" w:rsidRDefault="004108C3" w:rsidP="005D19B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7C9A8" w14:textId="77777777" w:rsidR="00000000" w:rsidRDefault="00366184">
      <w:r>
        <w:separator/>
      </w:r>
    </w:p>
  </w:endnote>
  <w:endnote w:type="continuationSeparator" w:id="0">
    <w:p w14:paraId="4E34A5DC" w14:textId="77777777" w:rsidR="00000000" w:rsidRDefault="0036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42FE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49DF" w14:paraId="3786CF66" w14:textId="77777777" w:rsidTr="009C1E9A">
      <w:trPr>
        <w:cantSplit/>
      </w:trPr>
      <w:tc>
        <w:tcPr>
          <w:tcW w:w="0" w:type="pct"/>
        </w:tcPr>
        <w:p w14:paraId="46C4DB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25B95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44BB9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DC65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C30645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49DF" w14:paraId="4EA09117" w14:textId="77777777" w:rsidTr="009C1E9A">
      <w:trPr>
        <w:cantSplit/>
      </w:trPr>
      <w:tc>
        <w:tcPr>
          <w:tcW w:w="0" w:type="pct"/>
        </w:tcPr>
        <w:p w14:paraId="49CF5B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0219A6" w14:textId="533405BA" w:rsidR="00EC379B" w:rsidRPr="009C1E9A" w:rsidRDefault="00366184" w:rsidP="00B20FA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21171</w:t>
          </w:r>
        </w:p>
      </w:tc>
      <w:tc>
        <w:tcPr>
          <w:tcW w:w="2453" w:type="pct"/>
        </w:tcPr>
        <w:p w14:paraId="729EBC09" w14:textId="308E6623" w:rsidR="00EC379B" w:rsidRDefault="003661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94B93">
            <w:t>21.106.1931</w:t>
          </w:r>
          <w:r>
            <w:fldChar w:fldCharType="end"/>
          </w:r>
        </w:p>
      </w:tc>
    </w:tr>
    <w:tr w:rsidR="00BF49DF" w14:paraId="6E898F0D" w14:textId="77777777" w:rsidTr="009C1E9A">
      <w:trPr>
        <w:cantSplit/>
      </w:trPr>
      <w:tc>
        <w:tcPr>
          <w:tcW w:w="0" w:type="pct"/>
        </w:tcPr>
        <w:p w14:paraId="00EB07E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39A2B7D" w14:textId="3CC86B18" w:rsidR="00EC379B" w:rsidRPr="009C1E9A" w:rsidRDefault="003661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18024</w:t>
          </w:r>
        </w:p>
      </w:tc>
      <w:tc>
        <w:tcPr>
          <w:tcW w:w="2453" w:type="pct"/>
        </w:tcPr>
        <w:p w14:paraId="5C8331B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169C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49DF" w14:paraId="794108C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E41E33B" w14:textId="20727159" w:rsidR="00EC379B" w:rsidRDefault="003661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D19B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0B70B8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EFA03D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EBF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EEF4" w14:textId="77777777" w:rsidR="00000000" w:rsidRDefault="00366184">
      <w:r>
        <w:separator/>
      </w:r>
    </w:p>
  </w:footnote>
  <w:footnote w:type="continuationSeparator" w:id="0">
    <w:p w14:paraId="5B708E64" w14:textId="77777777" w:rsidR="00000000" w:rsidRDefault="0036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58B9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6857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02C0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1709"/>
    <w:multiLevelType w:val="hybridMultilevel"/>
    <w:tmpl w:val="C994E36E"/>
    <w:lvl w:ilvl="0" w:tplc="952EB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E1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05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41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0A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25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6C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85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022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76EE"/>
    <w:multiLevelType w:val="hybridMultilevel"/>
    <w:tmpl w:val="76006878"/>
    <w:lvl w:ilvl="0" w:tplc="135C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CBE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61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61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64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48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60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66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66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D9"/>
    <w:rsid w:val="00000A70"/>
    <w:rsid w:val="00001AB2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C52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1F5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4A1B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1D9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2A78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184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44F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355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4AB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0E3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034"/>
    <w:rsid w:val="005851E6"/>
    <w:rsid w:val="005878B7"/>
    <w:rsid w:val="00592C9A"/>
    <w:rsid w:val="00593DF8"/>
    <w:rsid w:val="00595745"/>
    <w:rsid w:val="00597127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19BE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1BAB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849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513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01E"/>
    <w:rsid w:val="007B1E69"/>
    <w:rsid w:val="007B4FCA"/>
    <w:rsid w:val="007B7B85"/>
    <w:rsid w:val="007C462E"/>
    <w:rsid w:val="007C496B"/>
    <w:rsid w:val="007C6803"/>
    <w:rsid w:val="007C7C44"/>
    <w:rsid w:val="007D2892"/>
    <w:rsid w:val="007D2DCC"/>
    <w:rsid w:val="007D47E1"/>
    <w:rsid w:val="007D7FCB"/>
    <w:rsid w:val="007E2637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590"/>
    <w:rsid w:val="008947A7"/>
    <w:rsid w:val="00897960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6FA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1C22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5ED7"/>
    <w:rsid w:val="00A803CF"/>
    <w:rsid w:val="00A8133F"/>
    <w:rsid w:val="00A82CB4"/>
    <w:rsid w:val="00A837A8"/>
    <w:rsid w:val="00A83C36"/>
    <w:rsid w:val="00A932BB"/>
    <w:rsid w:val="00A93579"/>
    <w:rsid w:val="00A93934"/>
    <w:rsid w:val="00A94B93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F1C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FA5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9DF"/>
    <w:rsid w:val="00BF4D7C"/>
    <w:rsid w:val="00BF5085"/>
    <w:rsid w:val="00C013F4"/>
    <w:rsid w:val="00C040AB"/>
    <w:rsid w:val="00C0499B"/>
    <w:rsid w:val="00C05406"/>
    <w:rsid w:val="00C05CF0"/>
    <w:rsid w:val="00C06113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A7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794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AE8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A5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D26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16D"/>
    <w:rsid w:val="00FE19C5"/>
    <w:rsid w:val="00FE2D27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1A9939-DC32-4653-8A6C-CE4BA20E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00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0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00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001E"/>
    <w:rPr>
      <w:b/>
      <w:bCs/>
    </w:rPr>
  </w:style>
  <w:style w:type="paragraph" w:styleId="ListParagraph">
    <w:name w:val="List Paragraph"/>
    <w:basedOn w:val="Normal"/>
    <w:uiPriority w:val="34"/>
    <w:qFormat/>
    <w:rsid w:val="004C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2824</Characters>
  <Application>Microsoft Office Word</Application>
  <DocSecurity>4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HB03662 (Committee Report (Substituted))</vt:lpstr>
    </vt:vector>
  </TitlesOfParts>
  <Company>State of Texas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21171</dc:subject>
  <dc:creator>State of Texas</dc:creator>
  <dc:description>HB 3662 by Buckley-(H)Human Services (Substitute Document Number: 87R 18024)</dc:description>
  <cp:lastModifiedBy>Stacey Nicchio</cp:lastModifiedBy>
  <cp:revision>2</cp:revision>
  <cp:lastPrinted>2003-11-26T17:21:00Z</cp:lastPrinted>
  <dcterms:created xsi:type="dcterms:W3CDTF">2021-04-19T19:58:00Z</dcterms:created>
  <dcterms:modified xsi:type="dcterms:W3CDTF">2021-04-19T19:58:00Z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21.106.1931</vt:lpwstr>
  </property>
</Properties>
</file>