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E4782" w14:paraId="317FE84A" w14:textId="77777777" w:rsidTr="00345119">
        <w:tc>
          <w:tcPr>
            <w:tcW w:w="9576" w:type="dxa"/>
            <w:noWrap/>
          </w:tcPr>
          <w:p w14:paraId="52B62A41" w14:textId="5F5986F6" w:rsidR="008423E4" w:rsidRPr="0022177D" w:rsidRDefault="00F43A7A" w:rsidP="002E0855">
            <w:pPr>
              <w:pStyle w:val="Heading1"/>
            </w:pPr>
            <w:bookmarkStart w:id="0" w:name="_GoBack"/>
            <w:bookmarkEnd w:id="0"/>
            <w:r w:rsidRPr="00631897">
              <w:t>BILL ANALYSIS</w:t>
            </w:r>
          </w:p>
        </w:tc>
      </w:tr>
    </w:tbl>
    <w:p w14:paraId="12FF2F36" w14:textId="77777777" w:rsidR="008423E4" w:rsidRPr="0022177D" w:rsidRDefault="008423E4" w:rsidP="002E0855">
      <w:pPr>
        <w:jc w:val="center"/>
      </w:pPr>
    </w:p>
    <w:p w14:paraId="62C2D34D" w14:textId="77777777" w:rsidR="008423E4" w:rsidRPr="00B31F0E" w:rsidRDefault="008423E4" w:rsidP="002E0855"/>
    <w:p w14:paraId="67312303" w14:textId="77777777" w:rsidR="008423E4" w:rsidRPr="00742794" w:rsidRDefault="008423E4" w:rsidP="002E0855">
      <w:pPr>
        <w:tabs>
          <w:tab w:val="right" w:pos="9360"/>
        </w:tabs>
      </w:pPr>
    </w:p>
    <w:tbl>
      <w:tblPr>
        <w:tblW w:w="0" w:type="auto"/>
        <w:tblLayout w:type="fixed"/>
        <w:tblLook w:val="01E0" w:firstRow="1" w:lastRow="1" w:firstColumn="1" w:lastColumn="1" w:noHBand="0" w:noVBand="0"/>
      </w:tblPr>
      <w:tblGrid>
        <w:gridCol w:w="9576"/>
      </w:tblGrid>
      <w:tr w:rsidR="00AE4782" w14:paraId="545934DF" w14:textId="77777777" w:rsidTr="00345119">
        <w:tc>
          <w:tcPr>
            <w:tcW w:w="9576" w:type="dxa"/>
          </w:tcPr>
          <w:p w14:paraId="63191576" w14:textId="3095A030" w:rsidR="008423E4" w:rsidRPr="00861995" w:rsidRDefault="00F43A7A" w:rsidP="002E0855">
            <w:pPr>
              <w:jc w:val="right"/>
            </w:pPr>
            <w:r>
              <w:t>H.B. 3689</w:t>
            </w:r>
          </w:p>
        </w:tc>
      </w:tr>
      <w:tr w:rsidR="00AE4782" w14:paraId="39A78EB2" w14:textId="77777777" w:rsidTr="00345119">
        <w:tc>
          <w:tcPr>
            <w:tcW w:w="9576" w:type="dxa"/>
          </w:tcPr>
          <w:p w14:paraId="7D4E2327" w14:textId="072F1421" w:rsidR="008423E4" w:rsidRPr="00861995" w:rsidRDefault="00F43A7A" w:rsidP="002E0855">
            <w:pPr>
              <w:jc w:val="right"/>
            </w:pPr>
            <w:r>
              <w:t xml:space="preserve">By: </w:t>
            </w:r>
            <w:r w:rsidR="00A0548E">
              <w:t>Cortez</w:t>
            </w:r>
          </w:p>
        </w:tc>
      </w:tr>
      <w:tr w:rsidR="00AE4782" w14:paraId="41AA4830" w14:textId="77777777" w:rsidTr="00345119">
        <w:tc>
          <w:tcPr>
            <w:tcW w:w="9576" w:type="dxa"/>
          </w:tcPr>
          <w:p w14:paraId="6C1A227F" w14:textId="4136EE54" w:rsidR="008423E4" w:rsidRPr="00861995" w:rsidRDefault="00F43A7A" w:rsidP="002E0855">
            <w:pPr>
              <w:jc w:val="right"/>
            </w:pPr>
            <w:r>
              <w:t>Natural Resources</w:t>
            </w:r>
          </w:p>
        </w:tc>
      </w:tr>
      <w:tr w:rsidR="00AE4782" w14:paraId="6B266214" w14:textId="77777777" w:rsidTr="00345119">
        <w:tc>
          <w:tcPr>
            <w:tcW w:w="9576" w:type="dxa"/>
          </w:tcPr>
          <w:p w14:paraId="3CA04290" w14:textId="30B5E6A1" w:rsidR="008423E4" w:rsidRDefault="00F43A7A" w:rsidP="002E0855">
            <w:pPr>
              <w:jc w:val="right"/>
            </w:pPr>
            <w:r>
              <w:t>Committee Report (Unamended)</w:t>
            </w:r>
          </w:p>
        </w:tc>
      </w:tr>
    </w:tbl>
    <w:p w14:paraId="3A8D9C51" w14:textId="77777777" w:rsidR="008423E4" w:rsidRDefault="008423E4" w:rsidP="002E0855">
      <w:pPr>
        <w:tabs>
          <w:tab w:val="right" w:pos="9360"/>
        </w:tabs>
      </w:pPr>
    </w:p>
    <w:p w14:paraId="65B29D6D" w14:textId="77777777" w:rsidR="008423E4" w:rsidRDefault="008423E4" w:rsidP="002E0855"/>
    <w:p w14:paraId="104E3BD0" w14:textId="77777777" w:rsidR="008423E4" w:rsidRDefault="008423E4" w:rsidP="002E0855"/>
    <w:tbl>
      <w:tblPr>
        <w:tblW w:w="0" w:type="auto"/>
        <w:tblCellMar>
          <w:left w:w="115" w:type="dxa"/>
          <w:right w:w="115" w:type="dxa"/>
        </w:tblCellMar>
        <w:tblLook w:val="01E0" w:firstRow="1" w:lastRow="1" w:firstColumn="1" w:lastColumn="1" w:noHBand="0" w:noVBand="0"/>
      </w:tblPr>
      <w:tblGrid>
        <w:gridCol w:w="9360"/>
      </w:tblGrid>
      <w:tr w:rsidR="00AE4782" w14:paraId="6D52377B" w14:textId="77777777" w:rsidTr="00345119">
        <w:tc>
          <w:tcPr>
            <w:tcW w:w="9576" w:type="dxa"/>
          </w:tcPr>
          <w:p w14:paraId="24594C8B" w14:textId="77777777" w:rsidR="008423E4" w:rsidRPr="00A8133F" w:rsidRDefault="00F43A7A" w:rsidP="002E0855">
            <w:pPr>
              <w:rPr>
                <w:b/>
              </w:rPr>
            </w:pPr>
            <w:r w:rsidRPr="009C1E9A">
              <w:rPr>
                <w:b/>
                <w:u w:val="single"/>
              </w:rPr>
              <w:t>BACKGROUND AND PURPOSE</w:t>
            </w:r>
            <w:r>
              <w:rPr>
                <w:b/>
              </w:rPr>
              <w:t xml:space="preserve"> </w:t>
            </w:r>
          </w:p>
          <w:p w14:paraId="10DA29E5" w14:textId="77777777" w:rsidR="008423E4" w:rsidRDefault="008423E4" w:rsidP="002E0855"/>
          <w:p w14:paraId="1C85EEEA" w14:textId="02C19875" w:rsidR="008423E4" w:rsidRDefault="00F43A7A" w:rsidP="002E0855">
            <w:pPr>
              <w:pStyle w:val="Header"/>
              <w:jc w:val="both"/>
            </w:pPr>
            <w:r>
              <w:t>T</w:t>
            </w:r>
            <w:r w:rsidR="004A4858">
              <w:t xml:space="preserve">he Public Utility Commission of Texas (PUC) </w:t>
            </w:r>
            <w:r>
              <w:t xml:space="preserve">recently </w:t>
            </w:r>
            <w:r w:rsidR="00A63150">
              <w:t>asserted</w:t>
            </w:r>
            <w:r>
              <w:t xml:space="preserve"> </w:t>
            </w:r>
            <w:r w:rsidR="004A4858">
              <w:t xml:space="preserve">that when </w:t>
            </w:r>
            <w:r w:rsidR="00A63150">
              <w:t xml:space="preserve">its </w:t>
            </w:r>
            <w:r w:rsidR="004A4858">
              <w:t>jurisdictio</w:t>
            </w:r>
            <w:r w:rsidR="00A63150">
              <w:t>n is triggered</w:t>
            </w:r>
            <w:r w:rsidR="00374B46">
              <w:t xml:space="preserve"> </w:t>
            </w:r>
            <w:r w:rsidR="00A63150">
              <w:t>with regard to</w:t>
            </w:r>
            <w:r w:rsidR="004A4858">
              <w:t xml:space="preserve"> the rates of a municipally</w:t>
            </w:r>
            <w:r w:rsidR="00414F71">
              <w:t xml:space="preserve"> </w:t>
            </w:r>
            <w:r w:rsidR="004A4858">
              <w:t xml:space="preserve">owned utility's customers </w:t>
            </w:r>
            <w:r w:rsidR="005E1FF8">
              <w:t>who reside</w:t>
            </w:r>
            <w:r w:rsidR="004A4858">
              <w:t xml:space="preserve"> outside the municipality, the PUC </w:t>
            </w:r>
            <w:r w:rsidR="00A63150">
              <w:t xml:space="preserve">also </w:t>
            </w:r>
            <w:r w:rsidR="004A4858">
              <w:t xml:space="preserve">gains jurisdiction over rates of customers residing within the municipality. </w:t>
            </w:r>
            <w:r w:rsidR="00A63150">
              <w:t xml:space="preserve">In a recent appeal </w:t>
            </w:r>
            <w:r w:rsidR="004A4858">
              <w:t>of water and sewer rates charged by the Town of Woodloch</w:t>
            </w:r>
            <w:r w:rsidR="00A63150">
              <w:t xml:space="preserve">, </w:t>
            </w:r>
            <w:r w:rsidR="004A4858">
              <w:t xml:space="preserve">the PUC found that once jurisdiction is triggered, the PUC gains jurisdiction over every rate set by the utility, not just the rate that was specifically appealed. However, neither the PUC nor the Texas Commission on Environmental Quality </w:t>
            </w:r>
            <w:r w:rsidR="00315CA8">
              <w:t xml:space="preserve">has </w:t>
            </w:r>
            <w:r w:rsidR="004A4858">
              <w:t>ever asserted jurisdiction over the water or sewer rates of a municipally</w:t>
            </w:r>
            <w:r w:rsidR="00414F71">
              <w:t xml:space="preserve"> </w:t>
            </w:r>
            <w:r w:rsidR="004A4858">
              <w:t xml:space="preserve">owned utility within </w:t>
            </w:r>
            <w:r w:rsidR="00342E95">
              <w:t xml:space="preserve">the municipality's </w:t>
            </w:r>
            <w:r w:rsidR="004A4858">
              <w:t>corporate limits. Given that the</w:t>
            </w:r>
            <w:r>
              <w:t xml:space="preserve"> applicable law</w:t>
            </w:r>
            <w:r w:rsidR="004A4858">
              <w:t xml:space="preserve"> ha</w:t>
            </w:r>
            <w:r>
              <w:t>s</w:t>
            </w:r>
            <w:r w:rsidR="004A4858">
              <w:t xml:space="preserve"> never been </w:t>
            </w:r>
            <w:r>
              <w:t xml:space="preserve">interpreted </w:t>
            </w:r>
            <w:r w:rsidR="004A4858">
              <w:t xml:space="preserve">to grant the PUC authority over customers </w:t>
            </w:r>
            <w:r>
              <w:t xml:space="preserve">within </w:t>
            </w:r>
            <w:r w:rsidR="00374B46">
              <w:t>the corporate</w:t>
            </w:r>
            <w:r w:rsidR="004A4858">
              <w:t xml:space="preserve"> limits</w:t>
            </w:r>
            <w:r w:rsidR="00374B46">
              <w:t xml:space="preserve"> of a municipality</w:t>
            </w:r>
            <w:r w:rsidR="004A4858">
              <w:t xml:space="preserve">, this </w:t>
            </w:r>
            <w:r w:rsidR="00A63150">
              <w:t xml:space="preserve">recent </w:t>
            </w:r>
            <w:r w:rsidR="004A4858">
              <w:t>decision</w:t>
            </w:r>
            <w:r w:rsidR="00A63150">
              <w:t xml:space="preserve"> of the PUC</w:t>
            </w:r>
            <w:r w:rsidR="004A4858">
              <w:t xml:space="preserve"> represents a fundamental change in </w:t>
            </w:r>
            <w:r>
              <w:t xml:space="preserve">the application </w:t>
            </w:r>
            <w:r w:rsidR="004A4858">
              <w:t>of state law that has been in place for many years. H.B.</w:t>
            </w:r>
            <w:r w:rsidR="00460AA7">
              <w:t> </w:t>
            </w:r>
            <w:r w:rsidR="004A4858">
              <w:t xml:space="preserve">3689 seeks to remedy this situation by clarifying that the PUC has no jurisdiction over municipal rates charged to customers within the corporate limits of the </w:t>
            </w:r>
            <w:r w:rsidR="00374B46">
              <w:t>municipality</w:t>
            </w:r>
            <w:r w:rsidR="004A4858">
              <w:t>.</w:t>
            </w:r>
          </w:p>
          <w:p w14:paraId="592B4DBD" w14:textId="77777777" w:rsidR="008423E4" w:rsidRPr="00E26B13" w:rsidRDefault="008423E4" w:rsidP="002E0855">
            <w:pPr>
              <w:rPr>
                <w:b/>
              </w:rPr>
            </w:pPr>
          </w:p>
        </w:tc>
      </w:tr>
      <w:tr w:rsidR="00AE4782" w14:paraId="496A0675" w14:textId="77777777" w:rsidTr="00345119">
        <w:tc>
          <w:tcPr>
            <w:tcW w:w="9576" w:type="dxa"/>
          </w:tcPr>
          <w:p w14:paraId="06275223" w14:textId="77777777" w:rsidR="0017725B" w:rsidRDefault="00F43A7A" w:rsidP="002E0855">
            <w:pPr>
              <w:rPr>
                <w:b/>
                <w:u w:val="single"/>
              </w:rPr>
            </w:pPr>
            <w:r>
              <w:rPr>
                <w:b/>
                <w:u w:val="single"/>
              </w:rPr>
              <w:t>CRIMINAL JUSTICE IMPACT</w:t>
            </w:r>
          </w:p>
          <w:p w14:paraId="2D86C449" w14:textId="77777777" w:rsidR="0017725B" w:rsidRDefault="0017725B" w:rsidP="002E0855">
            <w:pPr>
              <w:rPr>
                <w:b/>
                <w:u w:val="single"/>
              </w:rPr>
            </w:pPr>
          </w:p>
          <w:p w14:paraId="2624E782" w14:textId="77777777" w:rsidR="00582FE6" w:rsidRPr="00582FE6" w:rsidRDefault="00F43A7A" w:rsidP="002E0855">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14:paraId="70D22889" w14:textId="77777777" w:rsidR="0017725B" w:rsidRPr="0017725B" w:rsidRDefault="0017725B" w:rsidP="002E0855">
            <w:pPr>
              <w:rPr>
                <w:b/>
                <w:u w:val="single"/>
              </w:rPr>
            </w:pPr>
          </w:p>
        </w:tc>
      </w:tr>
      <w:tr w:rsidR="00AE4782" w14:paraId="61CA6968" w14:textId="77777777" w:rsidTr="00345119">
        <w:tc>
          <w:tcPr>
            <w:tcW w:w="9576" w:type="dxa"/>
          </w:tcPr>
          <w:p w14:paraId="0386858F" w14:textId="77777777" w:rsidR="008423E4" w:rsidRPr="00A8133F" w:rsidRDefault="00F43A7A" w:rsidP="002E0855">
            <w:pPr>
              <w:rPr>
                <w:b/>
              </w:rPr>
            </w:pPr>
            <w:r w:rsidRPr="009C1E9A">
              <w:rPr>
                <w:b/>
                <w:u w:val="single"/>
              </w:rPr>
              <w:t>RULEMAKING AUTHORITY</w:t>
            </w:r>
            <w:r>
              <w:rPr>
                <w:b/>
              </w:rPr>
              <w:t xml:space="preserve"> </w:t>
            </w:r>
          </w:p>
          <w:p w14:paraId="5ABE6443" w14:textId="77777777" w:rsidR="008423E4" w:rsidRDefault="008423E4" w:rsidP="002E0855"/>
          <w:p w14:paraId="551949B6" w14:textId="77777777" w:rsidR="00582FE6" w:rsidRDefault="00F43A7A" w:rsidP="002E0855">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14:paraId="462DB01F" w14:textId="77777777" w:rsidR="008423E4" w:rsidRPr="00E21FDC" w:rsidRDefault="008423E4" w:rsidP="002E0855">
            <w:pPr>
              <w:rPr>
                <w:b/>
              </w:rPr>
            </w:pPr>
          </w:p>
        </w:tc>
      </w:tr>
      <w:tr w:rsidR="00AE4782" w14:paraId="462CFA62" w14:textId="77777777" w:rsidTr="00345119">
        <w:tc>
          <w:tcPr>
            <w:tcW w:w="9576" w:type="dxa"/>
          </w:tcPr>
          <w:p w14:paraId="2D3A93F3" w14:textId="77777777" w:rsidR="008423E4" w:rsidRPr="00A8133F" w:rsidRDefault="00F43A7A" w:rsidP="002E0855">
            <w:pPr>
              <w:rPr>
                <w:b/>
              </w:rPr>
            </w:pPr>
            <w:r w:rsidRPr="009C1E9A">
              <w:rPr>
                <w:b/>
                <w:u w:val="single"/>
              </w:rPr>
              <w:t>ANALYSIS</w:t>
            </w:r>
            <w:r>
              <w:rPr>
                <w:b/>
              </w:rPr>
              <w:t xml:space="preserve"> </w:t>
            </w:r>
          </w:p>
          <w:p w14:paraId="3B4A8A99" w14:textId="77777777" w:rsidR="008423E4" w:rsidRDefault="008423E4" w:rsidP="002E0855"/>
          <w:p w14:paraId="2EAC0B30" w14:textId="588D4F47" w:rsidR="00582FE6" w:rsidRPr="009C36CD" w:rsidRDefault="00F43A7A" w:rsidP="002E0855">
            <w:pPr>
              <w:pStyle w:val="Header"/>
              <w:tabs>
                <w:tab w:val="clear" w:pos="4320"/>
                <w:tab w:val="clear" w:pos="8640"/>
              </w:tabs>
              <w:jc w:val="both"/>
            </w:pPr>
            <w:r>
              <w:t xml:space="preserve">H.B. 3689 amends </w:t>
            </w:r>
            <w:r w:rsidRPr="00D00874">
              <w:t>Water Code</w:t>
            </w:r>
            <w:r w:rsidR="00DE3EB9">
              <w:t xml:space="preserve"> to </w:t>
            </w:r>
            <w:r w:rsidR="00374B46">
              <w:t>replace</w:t>
            </w:r>
            <w:r w:rsidR="00315CA8">
              <w:t xml:space="preserve"> </w:t>
            </w:r>
            <w:r>
              <w:t xml:space="preserve">the </w:t>
            </w:r>
            <w:r w:rsidR="00315CA8">
              <w:t>requirement for</w:t>
            </w:r>
            <w:r>
              <w:t xml:space="preserve"> the Public Utility Commission of Texas </w:t>
            </w:r>
            <w:r w:rsidR="00374B46">
              <w:t xml:space="preserve">(PUC) </w:t>
            </w:r>
            <w:r>
              <w:t xml:space="preserve">to ensure </w:t>
            </w:r>
            <w:r w:rsidR="00374B46">
              <w:t>that every rate</w:t>
            </w:r>
            <w:r>
              <w:t xml:space="preserve"> </w:t>
            </w:r>
            <w:r w:rsidR="00374B46">
              <w:t xml:space="preserve">that is made, demanded, or received </w:t>
            </w:r>
            <w:r>
              <w:t xml:space="preserve">in an appeal </w:t>
            </w:r>
            <w:r w:rsidRPr="00582FE6">
              <w:t xml:space="preserve">of </w:t>
            </w:r>
            <w:r w:rsidR="00315CA8">
              <w:t xml:space="preserve">water, drainage, or sewer </w:t>
            </w:r>
            <w:r w:rsidRPr="00582FE6">
              <w:t>rates charged by certain retail public utilities</w:t>
            </w:r>
            <w:r>
              <w:t xml:space="preserve"> </w:t>
            </w:r>
            <w:r w:rsidR="00511BF0">
              <w:t>is</w:t>
            </w:r>
            <w:r w:rsidR="00374B46">
              <w:t xml:space="preserve"> just and reasonable with a requirement for the PUC to ensure that every appealed rate is just and reasonable</w:t>
            </w:r>
            <w:r>
              <w:t xml:space="preserve">. </w:t>
            </w:r>
          </w:p>
          <w:p w14:paraId="1935F60C" w14:textId="77777777" w:rsidR="008423E4" w:rsidRPr="00835628" w:rsidRDefault="008423E4" w:rsidP="002E0855">
            <w:pPr>
              <w:rPr>
                <w:b/>
              </w:rPr>
            </w:pPr>
          </w:p>
        </w:tc>
      </w:tr>
      <w:tr w:rsidR="00AE4782" w14:paraId="25740F7A" w14:textId="77777777" w:rsidTr="00345119">
        <w:tc>
          <w:tcPr>
            <w:tcW w:w="9576" w:type="dxa"/>
          </w:tcPr>
          <w:p w14:paraId="468E5B24" w14:textId="77777777" w:rsidR="008423E4" w:rsidRPr="00A8133F" w:rsidRDefault="00F43A7A" w:rsidP="002E0855">
            <w:pPr>
              <w:rPr>
                <w:b/>
              </w:rPr>
            </w:pPr>
            <w:r w:rsidRPr="009C1E9A">
              <w:rPr>
                <w:b/>
                <w:u w:val="single"/>
              </w:rPr>
              <w:t>EFFECTIVE DATE</w:t>
            </w:r>
            <w:r>
              <w:rPr>
                <w:b/>
              </w:rPr>
              <w:t xml:space="preserve"> </w:t>
            </w:r>
          </w:p>
          <w:p w14:paraId="5E4B503D" w14:textId="77777777" w:rsidR="008423E4" w:rsidRDefault="008423E4" w:rsidP="002E0855"/>
          <w:p w14:paraId="0A521E0A" w14:textId="77777777" w:rsidR="008423E4" w:rsidRPr="003624F2" w:rsidRDefault="00F43A7A" w:rsidP="002E0855">
            <w:pPr>
              <w:pStyle w:val="Header"/>
              <w:tabs>
                <w:tab w:val="clear" w:pos="4320"/>
                <w:tab w:val="clear" w:pos="8640"/>
              </w:tabs>
              <w:jc w:val="both"/>
            </w:pPr>
            <w:r>
              <w:t>September 1, 2021.</w:t>
            </w:r>
          </w:p>
          <w:p w14:paraId="0B570C00" w14:textId="77777777" w:rsidR="008423E4" w:rsidRPr="00233FDB" w:rsidRDefault="008423E4" w:rsidP="002E0855">
            <w:pPr>
              <w:rPr>
                <w:b/>
              </w:rPr>
            </w:pPr>
          </w:p>
        </w:tc>
      </w:tr>
    </w:tbl>
    <w:p w14:paraId="70828CFD" w14:textId="77777777" w:rsidR="008423E4" w:rsidRPr="00BE0E75" w:rsidRDefault="008423E4" w:rsidP="002E0855">
      <w:pPr>
        <w:jc w:val="both"/>
        <w:rPr>
          <w:rFonts w:ascii="Arial" w:hAnsi="Arial"/>
          <w:sz w:val="16"/>
          <w:szCs w:val="16"/>
        </w:rPr>
      </w:pPr>
    </w:p>
    <w:p w14:paraId="5B67C5A9" w14:textId="77777777" w:rsidR="004108C3" w:rsidRPr="008423E4" w:rsidRDefault="004108C3" w:rsidP="002E085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10D6" w14:textId="77777777" w:rsidR="00000000" w:rsidRDefault="00F43A7A">
      <w:r>
        <w:separator/>
      </w:r>
    </w:p>
  </w:endnote>
  <w:endnote w:type="continuationSeparator" w:id="0">
    <w:p w14:paraId="07930DCB" w14:textId="77777777" w:rsidR="00000000" w:rsidRDefault="00F4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13B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4782" w14:paraId="4EE7FB5B" w14:textId="77777777" w:rsidTr="009C1E9A">
      <w:trPr>
        <w:cantSplit/>
      </w:trPr>
      <w:tc>
        <w:tcPr>
          <w:tcW w:w="0" w:type="pct"/>
        </w:tcPr>
        <w:p w14:paraId="41A88EBD" w14:textId="77777777" w:rsidR="00137D90" w:rsidRDefault="00137D90" w:rsidP="009C1E9A">
          <w:pPr>
            <w:pStyle w:val="Footer"/>
            <w:tabs>
              <w:tab w:val="clear" w:pos="8640"/>
              <w:tab w:val="right" w:pos="9360"/>
            </w:tabs>
          </w:pPr>
        </w:p>
      </w:tc>
      <w:tc>
        <w:tcPr>
          <w:tcW w:w="2395" w:type="pct"/>
        </w:tcPr>
        <w:p w14:paraId="7A78CA10" w14:textId="77777777" w:rsidR="00137D90" w:rsidRDefault="00137D90" w:rsidP="009C1E9A">
          <w:pPr>
            <w:pStyle w:val="Footer"/>
            <w:tabs>
              <w:tab w:val="clear" w:pos="8640"/>
              <w:tab w:val="right" w:pos="9360"/>
            </w:tabs>
          </w:pPr>
        </w:p>
        <w:p w14:paraId="06ECCD1D" w14:textId="77777777" w:rsidR="001A4310" w:rsidRDefault="001A4310" w:rsidP="009C1E9A">
          <w:pPr>
            <w:pStyle w:val="Footer"/>
            <w:tabs>
              <w:tab w:val="clear" w:pos="8640"/>
              <w:tab w:val="right" w:pos="9360"/>
            </w:tabs>
          </w:pPr>
        </w:p>
        <w:p w14:paraId="45858A68" w14:textId="77777777" w:rsidR="00137D90" w:rsidRDefault="00137D90" w:rsidP="009C1E9A">
          <w:pPr>
            <w:pStyle w:val="Footer"/>
            <w:tabs>
              <w:tab w:val="clear" w:pos="8640"/>
              <w:tab w:val="right" w:pos="9360"/>
            </w:tabs>
          </w:pPr>
        </w:p>
      </w:tc>
      <w:tc>
        <w:tcPr>
          <w:tcW w:w="2453" w:type="pct"/>
        </w:tcPr>
        <w:p w14:paraId="2F1B8C74" w14:textId="77777777" w:rsidR="00137D90" w:rsidRDefault="00137D90" w:rsidP="009C1E9A">
          <w:pPr>
            <w:pStyle w:val="Footer"/>
            <w:tabs>
              <w:tab w:val="clear" w:pos="8640"/>
              <w:tab w:val="right" w:pos="9360"/>
            </w:tabs>
            <w:jc w:val="right"/>
          </w:pPr>
        </w:p>
      </w:tc>
    </w:tr>
    <w:tr w:rsidR="00AE4782" w14:paraId="0E5480AA" w14:textId="77777777" w:rsidTr="009C1E9A">
      <w:trPr>
        <w:cantSplit/>
      </w:trPr>
      <w:tc>
        <w:tcPr>
          <w:tcW w:w="0" w:type="pct"/>
        </w:tcPr>
        <w:p w14:paraId="34A2BB42" w14:textId="77777777" w:rsidR="00EC379B" w:rsidRDefault="00EC379B" w:rsidP="009C1E9A">
          <w:pPr>
            <w:pStyle w:val="Footer"/>
            <w:tabs>
              <w:tab w:val="clear" w:pos="8640"/>
              <w:tab w:val="right" w:pos="9360"/>
            </w:tabs>
          </w:pPr>
        </w:p>
      </w:tc>
      <w:tc>
        <w:tcPr>
          <w:tcW w:w="2395" w:type="pct"/>
        </w:tcPr>
        <w:p w14:paraId="61F6ADB7" w14:textId="026F00E4" w:rsidR="00EC379B" w:rsidRPr="009C1E9A" w:rsidRDefault="00F43A7A" w:rsidP="009C1E9A">
          <w:pPr>
            <w:pStyle w:val="Footer"/>
            <w:tabs>
              <w:tab w:val="clear" w:pos="8640"/>
              <w:tab w:val="right" w:pos="9360"/>
            </w:tabs>
            <w:rPr>
              <w:rFonts w:ascii="Shruti" w:hAnsi="Shruti"/>
              <w:sz w:val="22"/>
            </w:rPr>
          </w:pPr>
          <w:r>
            <w:rPr>
              <w:rFonts w:ascii="Shruti" w:hAnsi="Shruti"/>
              <w:sz w:val="22"/>
            </w:rPr>
            <w:t>87R 19209</w:t>
          </w:r>
        </w:p>
      </w:tc>
      <w:tc>
        <w:tcPr>
          <w:tcW w:w="2453" w:type="pct"/>
        </w:tcPr>
        <w:p w14:paraId="4F731E0C" w14:textId="5337F0F0" w:rsidR="00EC379B" w:rsidRDefault="00F43A7A" w:rsidP="009C1E9A">
          <w:pPr>
            <w:pStyle w:val="Footer"/>
            <w:tabs>
              <w:tab w:val="clear" w:pos="8640"/>
              <w:tab w:val="right" w:pos="9360"/>
            </w:tabs>
            <w:jc w:val="right"/>
          </w:pPr>
          <w:r>
            <w:fldChar w:fldCharType="begin"/>
          </w:r>
          <w:r>
            <w:instrText xml:space="preserve"> DOCPROPERTY  OTID  \* MERGEFORMAT </w:instrText>
          </w:r>
          <w:r>
            <w:fldChar w:fldCharType="separate"/>
          </w:r>
          <w:r w:rsidR="002E0855">
            <w:t>21.100.332</w:t>
          </w:r>
          <w:r>
            <w:fldChar w:fldCharType="end"/>
          </w:r>
        </w:p>
      </w:tc>
    </w:tr>
    <w:tr w:rsidR="00AE4782" w14:paraId="68BCF4A0" w14:textId="77777777" w:rsidTr="009C1E9A">
      <w:trPr>
        <w:cantSplit/>
      </w:trPr>
      <w:tc>
        <w:tcPr>
          <w:tcW w:w="0" w:type="pct"/>
        </w:tcPr>
        <w:p w14:paraId="5AD8A61D" w14:textId="77777777" w:rsidR="00EC379B" w:rsidRDefault="00EC379B" w:rsidP="009C1E9A">
          <w:pPr>
            <w:pStyle w:val="Footer"/>
            <w:tabs>
              <w:tab w:val="clear" w:pos="4320"/>
              <w:tab w:val="clear" w:pos="8640"/>
              <w:tab w:val="left" w:pos="2865"/>
            </w:tabs>
          </w:pPr>
        </w:p>
      </w:tc>
      <w:tc>
        <w:tcPr>
          <w:tcW w:w="2395" w:type="pct"/>
        </w:tcPr>
        <w:p w14:paraId="446994C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17C915F" w14:textId="77777777" w:rsidR="00EC379B" w:rsidRDefault="00EC379B" w:rsidP="006D504F">
          <w:pPr>
            <w:pStyle w:val="Footer"/>
            <w:rPr>
              <w:rStyle w:val="PageNumber"/>
            </w:rPr>
          </w:pPr>
        </w:p>
        <w:p w14:paraId="42E1BA82" w14:textId="77777777" w:rsidR="00EC379B" w:rsidRDefault="00EC379B" w:rsidP="009C1E9A">
          <w:pPr>
            <w:pStyle w:val="Footer"/>
            <w:tabs>
              <w:tab w:val="clear" w:pos="8640"/>
              <w:tab w:val="right" w:pos="9360"/>
            </w:tabs>
            <w:jc w:val="right"/>
          </w:pPr>
        </w:p>
      </w:tc>
    </w:tr>
    <w:tr w:rsidR="00AE4782" w14:paraId="0A5ABBA3" w14:textId="77777777" w:rsidTr="009C1E9A">
      <w:trPr>
        <w:cantSplit/>
        <w:trHeight w:val="323"/>
      </w:trPr>
      <w:tc>
        <w:tcPr>
          <w:tcW w:w="0" w:type="pct"/>
          <w:gridSpan w:val="3"/>
        </w:tcPr>
        <w:p w14:paraId="34019171" w14:textId="68E2C05A" w:rsidR="00EC379B" w:rsidRDefault="00F43A7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0855">
            <w:rPr>
              <w:rStyle w:val="PageNumber"/>
              <w:noProof/>
            </w:rPr>
            <w:t>1</w:t>
          </w:r>
          <w:r>
            <w:rPr>
              <w:rStyle w:val="PageNumber"/>
            </w:rPr>
            <w:fldChar w:fldCharType="end"/>
          </w:r>
        </w:p>
        <w:p w14:paraId="3B35646F" w14:textId="77777777" w:rsidR="00EC379B" w:rsidRDefault="00EC379B" w:rsidP="009C1E9A">
          <w:pPr>
            <w:pStyle w:val="Footer"/>
            <w:tabs>
              <w:tab w:val="clear" w:pos="8640"/>
              <w:tab w:val="right" w:pos="9360"/>
            </w:tabs>
            <w:jc w:val="center"/>
          </w:pPr>
        </w:p>
      </w:tc>
    </w:tr>
  </w:tbl>
  <w:p w14:paraId="55DD105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E79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EFE1" w14:textId="77777777" w:rsidR="00000000" w:rsidRDefault="00F43A7A">
      <w:r>
        <w:separator/>
      </w:r>
    </w:p>
  </w:footnote>
  <w:footnote w:type="continuationSeparator" w:id="0">
    <w:p w14:paraId="00D79006" w14:textId="77777777" w:rsidR="00000000" w:rsidRDefault="00F4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394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64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44D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29F9"/>
    <w:multiLevelType w:val="hybridMultilevel"/>
    <w:tmpl w:val="C91A83B8"/>
    <w:lvl w:ilvl="0" w:tplc="26561C06">
      <w:start w:val="1"/>
      <w:numFmt w:val="bullet"/>
      <w:lvlText w:val=""/>
      <w:lvlJc w:val="left"/>
      <w:pPr>
        <w:tabs>
          <w:tab w:val="num" w:pos="720"/>
        </w:tabs>
        <w:ind w:left="720" w:hanging="360"/>
      </w:pPr>
      <w:rPr>
        <w:rFonts w:ascii="Symbol" w:hAnsi="Symbol" w:hint="default"/>
      </w:rPr>
    </w:lvl>
    <w:lvl w:ilvl="1" w:tplc="84787BCC" w:tentative="1">
      <w:start w:val="1"/>
      <w:numFmt w:val="bullet"/>
      <w:lvlText w:val="o"/>
      <w:lvlJc w:val="left"/>
      <w:pPr>
        <w:ind w:left="1440" w:hanging="360"/>
      </w:pPr>
      <w:rPr>
        <w:rFonts w:ascii="Courier New" w:hAnsi="Courier New" w:cs="Courier New" w:hint="default"/>
      </w:rPr>
    </w:lvl>
    <w:lvl w:ilvl="2" w:tplc="E8F836D6" w:tentative="1">
      <w:start w:val="1"/>
      <w:numFmt w:val="bullet"/>
      <w:lvlText w:val=""/>
      <w:lvlJc w:val="left"/>
      <w:pPr>
        <w:ind w:left="2160" w:hanging="360"/>
      </w:pPr>
      <w:rPr>
        <w:rFonts w:ascii="Wingdings" w:hAnsi="Wingdings" w:hint="default"/>
      </w:rPr>
    </w:lvl>
    <w:lvl w:ilvl="3" w:tplc="2414822E" w:tentative="1">
      <w:start w:val="1"/>
      <w:numFmt w:val="bullet"/>
      <w:lvlText w:val=""/>
      <w:lvlJc w:val="left"/>
      <w:pPr>
        <w:ind w:left="2880" w:hanging="360"/>
      </w:pPr>
      <w:rPr>
        <w:rFonts w:ascii="Symbol" w:hAnsi="Symbol" w:hint="default"/>
      </w:rPr>
    </w:lvl>
    <w:lvl w:ilvl="4" w:tplc="B902F4E2" w:tentative="1">
      <w:start w:val="1"/>
      <w:numFmt w:val="bullet"/>
      <w:lvlText w:val="o"/>
      <w:lvlJc w:val="left"/>
      <w:pPr>
        <w:ind w:left="3600" w:hanging="360"/>
      </w:pPr>
      <w:rPr>
        <w:rFonts w:ascii="Courier New" w:hAnsi="Courier New" w:cs="Courier New" w:hint="default"/>
      </w:rPr>
    </w:lvl>
    <w:lvl w:ilvl="5" w:tplc="1FBA6C48" w:tentative="1">
      <w:start w:val="1"/>
      <w:numFmt w:val="bullet"/>
      <w:lvlText w:val=""/>
      <w:lvlJc w:val="left"/>
      <w:pPr>
        <w:ind w:left="4320" w:hanging="360"/>
      </w:pPr>
      <w:rPr>
        <w:rFonts w:ascii="Wingdings" w:hAnsi="Wingdings" w:hint="default"/>
      </w:rPr>
    </w:lvl>
    <w:lvl w:ilvl="6" w:tplc="76680E1C" w:tentative="1">
      <w:start w:val="1"/>
      <w:numFmt w:val="bullet"/>
      <w:lvlText w:val=""/>
      <w:lvlJc w:val="left"/>
      <w:pPr>
        <w:ind w:left="5040" w:hanging="360"/>
      </w:pPr>
      <w:rPr>
        <w:rFonts w:ascii="Symbol" w:hAnsi="Symbol" w:hint="default"/>
      </w:rPr>
    </w:lvl>
    <w:lvl w:ilvl="7" w:tplc="B024C0A8" w:tentative="1">
      <w:start w:val="1"/>
      <w:numFmt w:val="bullet"/>
      <w:lvlText w:val="o"/>
      <w:lvlJc w:val="left"/>
      <w:pPr>
        <w:ind w:left="5760" w:hanging="360"/>
      </w:pPr>
      <w:rPr>
        <w:rFonts w:ascii="Courier New" w:hAnsi="Courier New" w:cs="Courier New" w:hint="default"/>
      </w:rPr>
    </w:lvl>
    <w:lvl w:ilvl="8" w:tplc="705C0A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7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464"/>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855"/>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CA8"/>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2E95"/>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4B46"/>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F71"/>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AA7"/>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85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1BF0"/>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2FE6"/>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1FF8"/>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B3B"/>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7D7"/>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48E"/>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150"/>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782"/>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9D3"/>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CB4"/>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874"/>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EB9"/>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A7A"/>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6B64F-867A-46C1-8B89-5553431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2FE6"/>
    <w:rPr>
      <w:sz w:val="16"/>
      <w:szCs w:val="16"/>
    </w:rPr>
  </w:style>
  <w:style w:type="paragraph" w:styleId="CommentText">
    <w:name w:val="annotation text"/>
    <w:basedOn w:val="Normal"/>
    <w:link w:val="CommentTextChar"/>
    <w:semiHidden/>
    <w:unhideWhenUsed/>
    <w:rsid w:val="00582FE6"/>
    <w:rPr>
      <w:sz w:val="20"/>
      <w:szCs w:val="20"/>
    </w:rPr>
  </w:style>
  <w:style w:type="character" w:customStyle="1" w:styleId="CommentTextChar">
    <w:name w:val="Comment Text Char"/>
    <w:basedOn w:val="DefaultParagraphFont"/>
    <w:link w:val="CommentText"/>
    <w:semiHidden/>
    <w:rsid w:val="00582FE6"/>
  </w:style>
  <w:style w:type="paragraph" w:styleId="CommentSubject">
    <w:name w:val="annotation subject"/>
    <w:basedOn w:val="CommentText"/>
    <w:next w:val="CommentText"/>
    <w:link w:val="CommentSubjectChar"/>
    <w:semiHidden/>
    <w:unhideWhenUsed/>
    <w:rsid w:val="00582FE6"/>
    <w:rPr>
      <w:b/>
      <w:bCs/>
    </w:rPr>
  </w:style>
  <w:style w:type="character" w:customStyle="1" w:styleId="CommentSubjectChar">
    <w:name w:val="Comment Subject Char"/>
    <w:basedOn w:val="CommentTextChar"/>
    <w:link w:val="CommentSubject"/>
    <w:semiHidden/>
    <w:rsid w:val="00582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1862</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HB03689 (Committee Report (Unamended))</vt:lpstr>
    </vt:vector>
  </TitlesOfParts>
  <Company>State of Texas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19209</dc:subject>
  <dc:creator>State of Texas</dc:creator>
  <dc:description>HB 3689 by Cortez-(H)Natural Resources</dc:description>
  <cp:lastModifiedBy>Thomas Weis</cp:lastModifiedBy>
  <cp:revision>2</cp:revision>
  <cp:lastPrinted>2003-11-26T17:21:00Z</cp:lastPrinted>
  <dcterms:created xsi:type="dcterms:W3CDTF">2021-04-13T22:34:00Z</dcterms:created>
  <dcterms:modified xsi:type="dcterms:W3CDTF">2021-04-13T22:34:00Z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21.100.332</vt:lpwstr>
  </property>
</Properties>
</file>