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22DB" w14:paraId="370BBB28" w14:textId="77777777" w:rsidTr="00345119">
        <w:tc>
          <w:tcPr>
            <w:tcW w:w="9576" w:type="dxa"/>
            <w:noWrap/>
          </w:tcPr>
          <w:p w14:paraId="1BBCDA34" w14:textId="77777777" w:rsidR="008423E4" w:rsidRPr="0022177D" w:rsidRDefault="004C192D" w:rsidP="00AF74C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17C532" w14:textId="77777777" w:rsidR="008423E4" w:rsidRPr="0022177D" w:rsidRDefault="008423E4" w:rsidP="00AF74C4">
      <w:pPr>
        <w:jc w:val="center"/>
      </w:pPr>
    </w:p>
    <w:p w14:paraId="22F4FCF0" w14:textId="77777777" w:rsidR="008423E4" w:rsidRPr="00B31F0E" w:rsidRDefault="008423E4" w:rsidP="00AF74C4"/>
    <w:p w14:paraId="2B983AA3" w14:textId="77777777" w:rsidR="008423E4" w:rsidRPr="00742794" w:rsidRDefault="008423E4" w:rsidP="00AF74C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22DB" w14:paraId="601CE68E" w14:textId="77777777" w:rsidTr="00345119">
        <w:tc>
          <w:tcPr>
            <w:tcW w:w="9576" w:type="dxa"/>
          </w:tcPr>
          <w:p w14:paraId="0A0E4294" w14:textId="77777777" w:rsidR="008423E4" w:rsidRPr="00861995" w:rsidRDefault="004C192D" w:rsidP="00AF74C4">
            <w:pPr>
              <w:jc w:val="right"/>
            </w:pPr>
            <w:r>
              <w:t>C.S.H.B. 3696</w:t>
            </w:r>
          </w:p>
        </w:tc>
      </w:tr>
      <w:tr w:rsidR="004C22DB" w14:paraId="6F23EC0B" w14:textId="77777777" w:rsidTr="00345119">
        <w:tc>
          <w:tcPr>
            <w:tcW w:w="9576" w:type="dxa"/>
          </w:tcPr>
          <w:p w14:paraId="4FC5B7AB" w14:textId="77777777" w:rsidR="008423E4" w:rsidRPr="00861995" w:rsidRDefault="004C192D" w:rsidP="00AF74C4">
            <w:pPr>
              <w:jc w:val="right"/>
            </w:pPr>
            <w:r>
              <w:t xml:space="preserve">By: </w:t>
            </w:r>
            <w:r w:rsidR="00C22DCF">
              <w:t>Deshotel</w:t>
            </w:r>
          </w:p>
        </w:tc>
      </w:tr>
      <w:tr w:rsidR="004C22DB" w14:paraId="73B8471B" w14:textId="77777777" w:rsidTr="00345119">
        <w:tc>
          <w:tcPr>
            <w:tcW w:w="9576" w:type="dxa"/>
          </w:tcPr>
          <w:p w14:paraId="5023426E" w14:textId="77777777" w:rsidR="008423E4" w:rsidRPr="00861995" w:rsidRDefault="004C192D" w:rsidP="00AF74C4">
            <w:pPr>
              <w:jc w:val="right"/>
            </w:pPr>
            <w:r>
              <w:t>State Affairs</w:t>
            </w:r>
          </w:p>
        </w:tc>
      </w:tr>
      <w:tr w:rsidR="004C22DB" w14:paraId="578092AA" w14:textId="77777777" w:rsidTr="00345119">
        <w:tc>
          <w:tcPr>
            <w:tcW w:w="9576" w:type="dxa"/>
          </w:tcPr>
          <w:p w14:paraId="7F8CCC25" w14:textId="77777777" w:rsidR="008423E4" w:rsidRDefault="004C192D" w:rsidP="00AF74C4">
            <w:pPr>
              <w:jc w:val="right"/>
            </w:pPr>
            <w:r>
              <w:t>Committee Report (Substituted)</w:t>
            </w:r>
          </w:p>
        </w:tc>
      </w:tr>
    </w:tbl>
    <w:p w14:paraId="7A875AE5" w14:textId="77777777" w:rsidR="008423E4" w:rsidRDefault="008423E4" w:rsidP="00AF74C4">
      <w:pPr>
        <w:tabs>
          <w:tab w:val="right" w:pos="9360"/>
        </w:tabs>
      </w:pPr>
    </w:p>
    <w:p w14:paraId="35B70CE9" w14:textId="77777777" w:rsidR="008423E4" w:rsidRDefault="008423E4" w:rsidP="00AF74C4"/>
    <w:p w14:paraId="4A771B17" w14:textId="77777777" w:rsidR="008423E4" w:rsidRDefault="008423E4" w:rsidP="00AF74C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22DB" w14:paraId="7D054689" w14:textId="77777777" w:rsidTr="00345119">
        <w:tc>
          <w:tcPr>
            <w:tcW w:w="9576" w:type="dxa"/>
          </w:tcPr>
          <w:p w14:paraId="56571007" w14:textId="77777777" w:rsidR="008423E4" w:rsidRPr="00A8133F" w:rsidRDefault="004C192D" w:rsidP="00AF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0ED21B" w14:textId="77777777" w:rsidR="008423E4" w:rsidRDefault="008423E4" w:rsidP="00AF74C4"/>
          <w:p w14:paraId="049F2F6D" w14:textId="1228D504" w:rsidR="008423E4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6F7F">
              <w:t xml:space="preserve">In 2015, the Texas Legislature </w:t>
            </w:r>
            <w:r w:rsidR="00AB0E6C">
              <w:t>enacted legislation attempting to</w:t>
            </w:r>
            <w:r w:rsidRPr="00FE6F7F">
              <w:t xml:space="preserve"> str</w:t>
            </w:r>
            <w:r w:rsidR="00AB0E6C">
              <w:t>ike</w:t>
            </w:r>
            <w:r w:rsidRPr="00FE6F7F">
              <w:t xml:space="preserve"> a balance between the ability of a homeowner to install solar generation on their property and limits a homeowners</w:t>
            </w:r>
            <w:r w:rsidR="009D732F">
              <w:t>'</w:t>
            </w:r>
            <w:r w:rsidRPr="00FE6F7F">
              <w:t xml:space="preserve"> association </w:t>
            </w:r>
            <w:r w:rsidR="00AB0E6C">
              <w:t>may</w:t>
            </w:r>
            <w:r w:rsidR="00AB0E6C" w:rsidRPr="00FE6F7F">
              <w:t xml:space="preserve"> </w:t>
            </w:r>
            <w:r w:rsidRPr="00FE6F7F">
              <w:t xml:space="preserve">impose on the </w:t>
            </w:r>
            <w:r w:rsidR="00AB0E6C">
              <w:t xml:space="preserve">installation and </w:t>
            </w:r>
            <w:r w:rsidRPr="00FE6F7F">
              <w:t>placement of that solar generation. Since then, a number of municipalities have adopted ordi</w:t>
            </w:r>
            <w:r w:rsidRPr="00FE6F7F">
              <w:t xml:space="preserve">nances that limit the ability of a homeowner to install solar generation on their property </w:t>
            </w:r>
            <w:r w:rsidR="00AB0E6C">
              <w:t xml:space="preserve">that are </w:t>
            </w:r>
            <w:r w:rsidRPr="00FE6F7F">
              <w:t xml:space="preserve">more restrictive than what was approved </w:t>
            </w:r>
            <w:r w:rsidR="00AB0E6C">
              <w:t>for homeowners' associations</w:t>
            </w:r>
            <w:r w:rsidRPr="00FE6F7F">
              <w:t xml:space="preserve">. </w:t>
            </w:r>
            <w:r w:rsidR="00AB0E6C">
              <w:t>C.S.H.B. 3696 seeks to</w:t>
            </w:r>
            <w:r w:rsidRPr="00FE6F7F">
              <w:t xml:space="preserve"> </w:t>
            </w:r>
            <w:r w:rsidR="00AB0E6C">
              <w:t xml:space="preserve">address this issue by </w:t>
            </w:r>
            <w:r w:rsidRPr="00FE6F7F">
              <w:t>apply</w:t>
            </w:r>
            <w:r w:rsidR="00AB0E6C">
              <w:t>ing</w:t>
            </w:r>
            <w:r w:rsidRPr="00FE6F7F">
              <w:t xml:space="preserve"> the same </w:t>
            </w:r>
            <w:r w:rsidR="00AB0E6C">
              <w:t>limits provided for homeowners' associations</w:t>
            </w:r>
            <w:r w:rsidRPr="00FE6F7F">
              <w:t xml:space="preserve"> to municipalities</w:t>
            </w:r>
            <w:r w:rsidR="00AB0E6C">
              <w:t>.</w:t>
            </w:r>
          </w:p>
          <w:p w14:paraId="69EB255D" w14:textId="77777777" w:rsidR="008423E4" w:rsidRPr="00E26B13" w:rsidRDefault="008423E4" w:rsidP="00AF74C4">
            <w:pPr>
              <w:rPr>
                <w:b/>
              </w:rPr>
            </w:pPr>
          </w:p>
        </w:tc>
      </w:tr>
      <w:tr w:rsidR="004C22DB" w14:paraId="65D09974" w14:textId="77777777" w:rsidTr="00345119">
        <w:tc>
          <w:tcPr>
            <w:tcW w:w="9576" w:type="dxa"/>
          </w:tcPr>
          <w:p w14:paraId="4E6FE93C" w14:textId="77777777" w:rsidR="0017725B" w:rsidRDefault="004C192D" w:rsidP="00AF74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537931" w14:textId="77777777" w:rsidR="0017725B" w:rsidRDefault="0017725B" w:rsidP="00AF74C4">
            <w:pPr>
              <w:rPr>
                <w:b/>
                <w:u w:val="single"/>
              </w:rPr>
            </w:pPr>
          </w:p>
          <w:p w14:paraId="3B5D10D6" w14:textId="77777777" w:rsidR="009D4664" w:rsidRPr="009D4664" w:rsidRDefault="004C192D" w:rsidP="00AF74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14:paraId="7C5BB8E1" w14:textId="77777777" w:rsidR="0017725B" w:rsidRPr="0017725B" w:rsidRDefault="0017725B" w:rsidP="00AF74C4">
            <w:pPr>
              <w:rPr>
                <w:b/>
                <w:u w:val="single"/>
              </w:rPr>
            </w:pPr>
          </w:p>
        </w:tc>
      </w:tr>
      <w:tr w:rsidR="004C22DB" w14:paraId="47F112F9" w14:textId="77777777" w:rsidTr="00345119">
        <w:tc>
          <w:tcPr>
            <w:tcW w:w="9576" w:type="dxa"/>
          </w:tcPr>
          <w:p w14:paraId="0E9BF1F4" w14:textId="77777777" w:rsidR="008423E4" w:rsidRPr="00A8133F" w:rsidRDefault="004C192D" w:rsidP="00AF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9DC5F5" w14:textId="77777777" w:rsidR="008423E4" w:rsidRDefault="008423E4" w:rsidP="00AF74C4"/>
          <w:p w14:paraId="32BFF0D7" w14:textId="77777777" w:rsidR="009D4664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088741B9" w14:textId="77777777" w:rsidR="008423E4" w:rsidRPr="00E21FDC" w:rsidRDefault="008423E4" w:rsidP="00AF74C4">
            <w:pPr>
              <w:rPr>
                <w:b/>
              </w:rPr>
            </w:pPr>
          </w:p>
        </w:tc>
      </w:tr>
      <w:tr w:rsidR="004C22DB" w14:paraId="78D93465" w14:textId="77777777" w:rsidTr="00345119">
        <w:tc>
          <w:tcPr>
            <w:tcW w:w="9576" w:type="dxa"/>
          </w:tcPr>
          <w:p w14:paraId="0671C037" w14:textId="77777777" w:rsidR="008423E4" w:rsidRPr="00A8133F" w:rsidRDefault="004C192D" w:rsidP="00AF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E7A4B8" w14:textId="77777777" w:rsidR="008423E4" w:rsidRDefault="008423E4" w:rsidP="00AF74C4"/>
          <w:p w14:paraId="55A6FD29" w14:textId="05D1364E" w:rsidR="009C36CD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3696 amends the </w:t>
            </w:r>
            <w:r w:rsidRPr="00C22DCF">
              <w:t>Business &amp; Commerce Code</w:t>
            </w:r>
            <w:r>
              <w:t xml:space="preserve"> to require a </w:t>
            </w:r>
            <w:r w:rsidRPr="00C22DCF">
              <w:t xml:space="preserve">seller or lessor </w:t>
            </w:r>
            <w:r w:rsidR="006C3CFD">
              <w:t xml:space="preserve">of distributed renewable generation resources </w:t>
            </w:r>
            <w:r w:rsidRPr="00C22DCF">
              <w:t>who enters into a purchase, lease, or power purchase agreement with a residential or small commercial</w:t>
            </w:r>
            <w:r w:rsidRPr="00C22DCF">
              <w:t xml:space="preserve"> customer for the operation of a distributed renewable generation resource</w:t>
            </w:r>
            <w:r>
              <w:t xml:space="preserve"> to provide the following</w:t>
            </w:r>
            <w:r w:rsidR="00ED578D">
              <w:t xml:space="preserve"> disclosures</w:t>
            </w:r>
            <w:r>
              <w:t xml:space="preserve"> </w:t>
            </w:r>
            <w:r w:rsidR="004901CB" w:rsidRPr="004901CB">
              <w:t xml:space="preserve">in writing </w:t>
            </w:r>
            <w:r>
              <w:t>to the customer:</w:t>
            </w:r>
          </w:p>
          <w:p w14:paraId="024AF154" w14:textId="77777777" w:rsidR="00C22DCF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contact information of the salesperson and installer of the generation resource;</w:t>
            </w:r>
          </w:p>
          <w:p w14:paraId="1018D86B" w14:textId="77777777" w:rsidR="004901CB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a description of all equipment to b</w:t>
            </w:r>
            <w:r w:rsidRPr="004901CB">
              <w:t>e installed;</w:t>
            </w:r>
          </w:p>
          <w:p w14:paraId="24333D7E" w14:textId="77777777" w:rsidR="004901CB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the cost of all equipment to be installed;</w:t>
            </w:r>
          </w:p>
          <w:p w14:paraId="5CCAD33A" w14:textId="77777777" w:rsidR="004901CB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a detailed accounting of fees associated with the installation or operation of the generation resource;</w:t>
            </w:r>
          </w:p>
          <w:p w14:paraId="6C164AB5" w14:textId="72B8FA9A" w:rsidR="004901CB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representations</w:t>
            </w:r>
            <w:r w:rsidR="00BB0A16">
              <w:t>, if any,</w:t>
            </w:r>
            <w:r>
              <w:t xml:space="preserve"> </w:t>
            </w:r>
            <w:r w:rsidRPr="004901CB">
              <w:t>made as part of the agreement regarding the expected operational</w:t>
            </w:r>
            <w:r w:rsidR="00BB0A16">
              <w:t xml:space="preserve"> and financial</w:t>
            </w:r>
            <w:r w:rsidRPr="004901CB">
              <w:t xml:space="preserve"> performance of the generation resource; </w:t>
            </w:r>
            <w:r w:rsidR="006C3CFD">
              <w:t>and</w:t>
            </w:r>
          </w:p>
          <w:p w14:paraId="5D5F2AB1" w14:textId="3D72E1A7" w:rsidR="006C3CFD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all applicable warranties.</w:t>
            </w:r>
          </w:p>
          <w:p w14:paraId="2E3CFE83" w14:textId="7B47994F" w:rsidR="004901CB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addition, a lessor must also provide the following disclosures:</w:t>
            </w:r>
          </w:p>
          <w:p w14:paraId="74FCABB2" w14:textId="77777777" w:rsidR="004901CB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the term and rate of the lease</w:t>
            </w:r>
            <w:r>
              <w:t xml:space="preserve">; and </w:t>
            </w:r>
          </w:p>
          <w:p w14:paraId="1C53D024" w14:textId="77777777" w:rsidR="004901CB" w:rsidRDefault="004C192D" w:rsidP="00AF74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a statement of whether the lease and any applicable warranty or maintenan</w:t>
            </w:r>
            <w:r w:rsidRPr="004901CB">
              <w:t>ce agreement is transferable to a subsequent purchaser of the property where the distributed renewable generation resource is installed.</w:t>
            </w:r>
          </w:p>
          <w:p w14:paraId="7CE7A931" w14:textId="77777777" w:rsidR="006C3CFD" w:rsidRDefault="006C3CF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926C91" w14:textId="631B1386" w:rsidR="00BB0A16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3696</w:t>
            </w:r>
            <w:r w:rsidR="004901CB">
              <w:t xml:space="preserve"> </w:t>
            </w:r>
            <w:r>
              <w:t>entitles a residential or small commercial</w:t>
            </w:r>
            <w:r w:rsidR="004901CB">
              <w:t xml:space="preserve"> customer </w:t>
            </w:r>
            <w:r>
              <w:t xml:space="preserve">who enters into a power purchase agreement </w:t>
            </w:r>
            <w:r w:rsidR="004901CB">
              <w:t xml:space="preserve">to receive </w:t>
            </w:r>
            <w:r w:rsidR="00ED578D">
              <w:t xml:space="preserve">the </w:t>
            </w:r>
            <w:r>
              <w:t xml:space="preserve">following </w:t>
            </w:r>
            <w:r w:rsidR="00ED578D">
              <w:t>written</w:t>
            </w:r>
            <w:r w:rsidR="004901CB">
              <w:t xml:space="preserve"> disclosures</w:t>
            </w:r>
            <w:r>
              <w:t>:</w:t>
            </w:r>
            <w:r w:rsidR="004901CB">
              <w:t xml:space="preserve"> </w:t>
            </w:r>
          </w:p>
          <w:p w14:paraId="122396EC" w14:textId="4F9983CF" w:rsidR="00BB0A16" w:rsidRDefault="004C192D" w:rsidP="00AF74C4">
            <w:pPr>
              <w:pStyle w:val="Header"/>
              <w:numPr>
                <w:ilvl w:val="0"/>
                <w:numId w:val="3"/>
              </w:numPr>
              <w:jc w:val="both"/>
            </w:pPr>
            <w:r w:rsidRPr="004901CB">
              <w:t>contact information</w:t>
            </w:r>
            <w:r>
              <w:t xml:space="preserve"> of the salesperson and installer of the generation resource;</w:t>
            </w:r>
            <w:r w:rsidR="00ED578D">
              <w:t xml:space="preserve"> </w:t>
            </w:r>
          </w:p>
          <w:p w14:paraId="510A109B" w14:textId="6E5D1EB7" w:rsidR="00BB0A16" w:rsidRDefault="004C192D" w:rsidP="00AF74C4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</w:t>
            </w:r>
            <w:r w:rsidR="00ED578D">
              <w:t>description</w:t>
            </w:r>
            <w:r>
              <w:t xml:space="preserve"> of all equipment to be installed;</w:t>
            </w:r>
            <w:r w:rsidR="00ED578D">
              <w:t xml:space="preserve"> </w:t>
            </w:r>
          </w:p>
          <w:p w14:paraId="77762249" w14:textId="0570462C" w:rsidR="00BB0A16" w:rsidRDefault="004C192D" w:rsidP="00AF74C4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representations, if any, made as part of the agreement regarding the expected </w:t>
            </w:r>
            <w:r>
              <w:t xml:space="preserve">operational and performance of the generation resource; </w:t>
            </w:r>
          </w:p>
          <w:p w14:paraId="261378E0" w14:textId="3F40CAD8" w:rsidR="00BB0A16" w:rsidRDefault="004C192D" w:rsidP="00AF74C4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all </w:t>
            </w:r>
            <w:r w:rsidR="00ED578D">
              <w:t>applicable warranties</w:t>
            </w:r>
            <w:r>
              <w:t>;</w:t>
            </w:r>
          </w:p>
          <w:p w14:paraId="7F296D97" w14:textId="796D8EF5" w:rsidR="00BB0A16" w:rsidRDefault="004C192D" w:rsidP="00AF74C4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term and rate of the agreement, including any payment escalators or other terms that affect the customer's payments; and</w:t>
            </w:r>
          </w:p>
          <w:p w14:paraId="3F481D50" w14:textId="12C1952A" w:rsidR="00BB0A16" w:rsidRDefault="004C192D" w:rsidP="00AF74C4">
            <w:pPr>
              <w:pStyle w:val="Header"/>
              <w:numPr>
                <w:ilvl w:val="0"/>
                <w:numId w:val="3"/>
              </w:numPr>
              <w:jc w:val="both"/>
            </w:pPr>
            <w:r>
              <w:t>whether the agreement and any applicable warran</w:t>
            </w:r>
            <w:r>
              <w:t>ty or maintenance agreement is transferable to a subsequent purchaser of the property where the generation resource is installed</w:t>
            </w:r>
            <w:r w:rsidR="00ED578D">
              <w:t xml:space="preserve">. </w:t>
            </w:r>
          </w:p>
          <w:p w14:paraId="3A3F04B4" w14:textId="77777777" w:rsidR="00BB0A16" w:rsidRDefault="00BB0A16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64ADF3" w14:textId="5CF1289A" w:rsidR="000D587C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3696 excepts the following from </w:t>
            </w:r>
            <w:r w:rsidR="009D4664">
              <w:t>the</w:t>
            </w:r>
            <w:r>
              <w:t xml:space="preserve"> bill's</w:t>
            </w:r>
            <w:r w:rsidR="006F38AC">
              <w:t xml:space="preserve"> disclosure</w:t>
            </w:r>
            <w:r w:rsidR="009D4664">
              <w:t xml:space="preserve"> requirement</w:t>
            </w:r>
            <w:r w:rsidR="006F38AC">
              <w:t>s</w:t>
            </w:r>
            <w:r>
              <w:t>:</w:t>
            </w:r>
          </w:p>
          <w:p w14:paraId="6F7217F2" w14:textId="77777777" w:rsidR="004901CB" w:rsidRDefault="004C192D" w:rsidP="00AF74C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0D587C">
              <w:t>a transaction involving the sale or transfer of</w:t>
            </w:r>
            <w:r w:rsidRPr="000D587C">
              <w:t xml:space="preserve"> the real property on which a distributed renewable generation resource is located;</w:t>
            </w:r>
          </w:p>
          <w:p w14:paraId="070D827F" w14:textId="77777777" w:rsidR="009D4664" w:rsidRDefault="004C192D" w:rsidP="00AF74C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person who </w:t>
            </w:r>
            <w:r w:rsidRPr="009D4664">
              <w:t>markets, sells, solicits, negotiates, or enters into an agreement for the sale or financing of</w:t>
            </w:r>
            <w:r>
              <w:t xml:space="preserve"> a </w:t>
            </w:r>
            <w:r w:rsidRPr="009D4664">
              <w:t>distributed renewable generation</w:t>
            </w:r>
            <w:r>
              <w:t xml:space="preserve"> resource </w:t>
            </w:r>
            <w:r w:rsidRPr="009D4664">
              <w:t>as part of a transac</w:t>
            </w:r>
            <w:r w:rsidRPr="009D4664">
              <w:t>tion involving the sale or transfer of</w:t>
            </w:r>
            <w:r>
              <w:t xml:space="preserve"> such real property;</w:t>
            </w:r>
          </w:p>
          <w:p w14:paraId="2C54050D" w14:textId="77777777" w:rsidR="009D4664" w:rsidRDefault="004C192D" w:rsidP="00AF74C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D4664">
              <w:t>a third party that enters into an agreement for the financing of</w:t>
            </w:r>
            <w:r>
              <w:t xml:space="preserve"> </w:t>
            </w:r>
            <w:r w:rsidRPr="009D4664">
              <w:t>a distributed renewable generation resource;</w:t>
            </w:r>
            <w:r>
              <w:t xml:space="preserve"> or</w:t>
            </w:r>
          </w:p>
          <w:p w14:paraId="2E527F11" w14:textId="18061B01" w:rsidR="009D4664" w:rsidRDefault="004C192D" w:rsidP="00AF74C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D4664">
              <w:t>a transaction between a retail electric provider</w:t>
            </w:r>
            <w:r>
              <w:t xml:space="preserve"> </w:t>
            </w:r>
            <w:r w:rsidRPr="009D4664">
              <w:t>and a residential or small commerci</w:t>
            </w:r>
            <w:r w:rsidRPr="009D4664">
              <w:t>al customer.</w:t>
            </w:r>
          </w:p>
          <w:p w14:paraId="3D46A53E" w14:textId="0F0F92CA" w:rsidR="00FE6F7F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assigns "distributed renewable generation" and "small commercial customer" the meanings provided under the Public Utility Regulatory Act.</w:t>
            </w:r>
          </w:p>
          <w:p w14:paraId="2DE1839F" w14:textId="77777777" w:rsidR="008042F7" w:rsidRDefault="008042F7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8C765D" w14:textId="2A7138BC" w:rsidR="006F38AC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3696 amends the </w:t>
            </w:r>
            <w:r w:rsidRPr="008042F7">
              <w:t>Local Government Code</w:t>
            </w:r>
            <w:r>
              <w:t xml:space="preserve"> to prohibit a municipality from </w:t>
            </w:r>
            <w:r w:rsidRPr="008042F7">
              <w:t>prohibit</w:t>
            </w:r>
            <w:r>
              <w:t>ing</w:t>
            </w:r>
            <w:r w:rsidRPr="008042F7">
              <w:t xml:space="preserve"> or r</w:t>
            </w:r>
            <w:r w:rsidRPr="008042F7">
              <w:t>estrict</w:t>
            </w:r>
            <w:r>
              <w:t>ing</w:t>
            </w:r>
            <w:r w:rsidRPr="008042F7">
              <w:t xml:space="preserve"> the installation of a solar energy device by a residential or small commercial customer</w:t>
            </w:r>
            <w:r w:rsidR="00824D9E">
              <w:t>,</w:t>
            </w:r>
            <w:r w:rsidRPr="008042F7">
              <w:t xml:space="preserve"> </w:t>
            </w:r>
            <w:r w:rsidR="00824D9E">
              <w:t>except to the extent to which a property owner's association may prohibit the installation</w:t>
            </w:r>
            <w:r>
              <w:t>, except with respect to the requirement to obtain prior approval,</w:t>
            </w:r>
            <w:r w:rsidR="00824D9E">
              <w:t xml:space="preserve"> or to which </w:t>
            </w:r>
            <w:r>
              <w:t>the following limit</w:t>
            </w:r>
            <w:r w:rsidR="000D587C">
              <w:t xml:space="preserve"> the installation</w:t>
            </w:r>
            <w:r>
              <w:t xml:space="preserve"> of such devices due to reliability, power quality, or safety of the distribution system:</w:t>
            </w:r>
          </w:p>
          <w:p w14:paraId="5941B24B" w14:textId="77777777" w:rsidR="006F38AC" w:rsidRDefault="004C192D" w:rsidP="00AF74C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F38AC">
              <w:t>the interconnection guidelines and interconnection agreement of a municipally owned utility serving the customer's se</w:t>
            </w:r>
            <w:r w:rsidRPr="006F38AC">
              <w:t>rvice area</w:t>
            </w:r>
            <w:r>
              <w:t>;</w:t>
            </w:r>
          </w:p>
          <w:p w14:paraId="2EECE198" w14:textId="50955941" w:rsidR="006F38AC" w:rsidRDefault="004C192D" w:rsidP="00AF74C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F38AC">
              <w:t>the rules of the Public Utility Commission of Texas</w:t>
            </w:r>
            <w:r>
              <w:t xml:space="preserve"> (PUC);</w:t>
            </w:r>
            <w:r w:rsidRPr="006F38AC">
              <w:t xml:space="preserve"> or</w:t>
            </w:r>
          </w:p>
          <w:p w14:paraId="283F4CE3" w14:textId="6C9FDFA8" w:rsidR="008042F7" w:rsidRPr="009C36CD" w:rsidRDefault="004C192D" w:rsidP="00AF74C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F38AC">
              <w:t>the protocols of an independent organization</w:t>
            </w:r>
            <w:r>
              <w:t>, such as ERCOT, that is</w:t>
            </w:r>
            <w:r w:rsidRPr="006F38AC">
              <w:t xml:space="preserve"> certified</w:t>
            </w:r>
            <w:r>
              <w:t xml:space="preserve"> by the PUC to perform certain essential market functions for a power region</w:t>
            </w:r>
            <w:r w:rsidR="000D587C">
              <w:t xml:space="preserve">. </w:t>
            </w:r>
          </w:p>
          <w:p w14:paraId="1F757A15" w14:textId="77777777" w:rsidR="008423E4" w:rsidRPr="00835628" w:rsidRDefault="008423E4" w:rsidP="00AF74C4">
            <w:pPr>
              <w:rPr>
                <w:b/>
              </w:rPr>
            </w:pPr>
          </w:p>
        </w:tc>
      </w:tr>
      <w:tr w:rsidR="004C22DB" w14:paraId="798BB9CD" w14:textId="77777777" w:rsidTr="00345119">
        <w:tc>
          <w:tcPr>
            <w:tcW w:w="9576" w:type="dxa"/>
          </w:tcPr>
          <w:p w14:paraId="3FBBEC72" w14:textId="77777777" w:rsidR="008423E4" w:rsidRPr="00A8133F" w:rsidRDefault="004C192D" w:rsidP="00AF74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6A9EAB" w14:textId="77777777" w:rsidR="008423E4" w:rsidRDefault="008423E4" w:rsidP="00AF74C4"/>
          <w:p w14:paraId="4055C403" w14:textId="77777777" w:rsidR="008423E4" w:rsidRPr="003624F2" w:rsidRDefault="004C192D" w:rsidP="00AF7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54D8247" w14:textId="77777777" w:rsidR="008423E4" w:rsidRPr="00233FDB" w:rsidRDefault="008423E4" w:rsidP="00AF74C4">
            <w:pPr>
              <w:rPr>
                <w:b/>
              </w:rPr>
            </w:pPr>
          </w:p>
        </w:tc>
      </w:tr>
      <w:tr w:rsidR="004C22DB" w14:paraId="2F8C5785" w14:textId="77777777" w:rsidTr="00345119">
        <w:tc>
          <w:tcPr>
            <w:tcW w:w="9576" w:type="dxa"/>
          </w:tcPr>
          <w:p w14:paraId="0063EFC7" w14:textId="77777777" w:rsidR="00C22DCF" w:rsidRDefault="004C192D" w:rsidP="00AF74C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78F9917" w14:textId="77777777" w:rsidR="006A3317" w:rsidRDefault="006A3317" w:rsidP="00AF74C4">
            <w:pPr>
              <w:jc w:val="both"/>
            </w:pPr>
          </w:p>
          <w:p w14:paraId="2632AA61" w14:textId="424B9047" w:rsidR="006A3317" w:rsidRDefault="004C192D" w:rsidP="00AF74C4">
            <w:pPr>
              <w:jc w:val="both"/>
            </w:pPr>
            <w:r>
              <w:t xml:space="preserve">While C.S.H.B. 3696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67EABD25" w14:textId="108DAC54" w:rsidR="006A3317" w:rsidRDefault="006A3317" w:rsidP="00AF74C4">
            <w:pPr>
              <w:jc w:val="both"/>
            </w:pPr>
          </w:p>
          <w:p w14:paraId="2618C997" w14:textId="69020D07" w:rsidR="006A3317" w:rsidRDefault="004C192D" w:rsidP="00AF74C4">
            <w:pPr>
              <w:jc w:val="both"/>
            </w:pPr>
            <w:r>
              <w:t xml:space="preserve">The substitute includes a </w:t>
            </w:r>
            <w:r w:rsidRPr="006A3317">
              <w:t>transaction between a retail electric provider and a residential or small commercial customer</w:t>
            </w:r>
            <w:r>
              <w:t xml:space="preserve"> among the transactions </w:t>
            </w:r>
            <w:r w:rsidR="00EC4851">
              <w:t>excepted from</w:t>
            </w:r>
            <w:r>
              <w:t xml:space="preserve"> the </w:t>
            </w:r>
            <w:r w:rsidR="00EC4851">
              <w:t xml:space="preserve">bill's </w:t>
            </w:r>
            <w:r>
              <w:t>disclosure requirement</w:t>
            </w:r>
            <w:r w:rsidR="00EC4851">
              <w:t>s</w:t>
            </w:r>
            <w:r>
              <w:t xml:space="preserve">, whereas the original </w:t>
            </w:r>
            <w:r w:rsidR="00EC4851">
              <w:t xml:space="preserve">did </w:t>
            </w:r>
            <w:r>
              <w:t xml:space="preserve">not. </w:t>
            </w:r>
          </w:p>
          <w:p w14:paraId="14F253FA" w14:textId="66BCC950" w:rsidR="006A3317" w:rsidRPr="006A3317" w:rsidRDefault="006A3317" w:rsidP="00AF74C4">
            <w:pPr>
              <w:jc w:val="both"/>
            </w:pPr>
          </w:p>
        </w:tc>
      </w:tr>
      <w:tr w:rsidR="004C22DB" w14:paraId="29B501B1" w14:textId="77777777" w:rsidTr="00345119">
        <w:tc>
          <w:tcPr>
            <w:tcW w:w="9576" w:type="dxa"/>
          </w:tcPr>
          <w:p w14:paraId="360645EA" w14:textId="77777777" w:rsidR="00C22DCF" w:rsidRPr="009C1E9A" w:rsidRDefault="00C22DCF" w:rsidP="00AF74C4">
            <w:pPr>
              <w:rPr>
                <w:b/>
                <w:u w:val="single"/>
              </w:rPr>
            </w:pPr>
          </w:p>
        </w:tc>
      </w:tr>
      <w:tr w:rsidR="004C22DB" w14:paraId="7038C2B9" w14:textId="77777777" w:rsidTr="00345119">
        <w:tc>
          <w:tcPr>
            <w:tcW w:w="9576" w:type="dxa"/>
          </w:tcPr>
          <w:p w14:paraId="200EBB6B" w14:textId="77777777" w:rsidR="00C22DCF" w:rsidRPr="00C22DCF" w:rsidRDefault="00C22DCF" w:rsidP="00AF74C4">
            <w:pPr>
              <w:jc w:val="both"/>
            </w:pPr>
          </w:p>
        </w:tc>
      </w:tr>
    </w:tbl>
    <w:p w14:paraId="4C931EA7" w14:textId="77777777" w:rsidR="008423E4" w:rsidRPr="00BE0E75" w:rsidRDefault="008423E4" w:rsidP="00AF74C4">
      <w:pPr>
        <w:jc w:val="both"/>
        <w:rPr>
          <w:rFonts w:ascii="Arial" w:hAnsi="Arial"/>
          <w:sz w:val="16"/>
          <w:szCs w:val="16"/>
        </w:rPr>
      </w:pPr>
    </w:p>
    <w:p w14:paraId="430BD8CA" w14:textId="77777777" w:rsidR="004108C3" w:rsidRPr="008423E4" w:rsidRDefault="004108C3" w:rsidP="00AF74C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C13F" w14:textId="77777777" w:rsidR="00000000" w:rsidRDefault="004C192D">
      <w:r>
        <w:separator/>
      </w:r>
    </w:p>
  </w:endnote>
  <w:endnote w:type="continuationSeparator" w:id="0">
    <w:p w14:paraId="21EB996F" w14:textId="77777777" w:rsidR="00000000" w:rsidRDefault="004C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BDA8" w14:textId="77777777" w:rsidR="0006160B" w:rsidRDefault="00061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22DB" w14:paraId="2C15547E" w14:textId="77777777" w:rsidTr="009C1E9A">
      <w:trPr>
        <w:cantSplit/>
      </w:trPr>
      <w:tc>
        <w:tcPr>
          <w:tcW w:w="0" w:type="pct"/>
        </w:tcPr>
        <w:p w14:paraId="29846B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2C4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B3688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BF0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2F71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2DB" w14:paraId="35650AE2" w14:textId="77777777" w:rsidTr="009C1E9A">
      <w:trPr>
        <w:cantSplit/>
      </w:trPr>
      <w:tc>
        <w:tcPr>
          <w:tcW w:w="0" w:type="pct"/>
        </w:tcPr>
        <w:p w14:paraId="49571F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61F30F" w14:textId="77777777" w:rsidR="00EC379B" w:rsidRPr="009C1E9A" w:rsidRDefault="004C19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21877</w:t>
          </w:r>
        </w:p>
      </w:tc>
      <w:tc>
        <w:tcPr>
          <w:tcW w:w="2453" w:type="pct"/>
        </w:tcPr>
        <w:p w14:paraId="7EB65EF0" w14:textId="2D409A9D" w:rsidR="00EC379B" w:rsidRDefault="004C19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F74C4">
            <w:t>21.115.432</w:t>
          </w:r>
          <w:r>
            <w:fldChar w:fldCharType="end"/>
          </w:r>
        </w:p>
      </w:tc>
    </w:tr>
    <w:tr w:rsidR="004C22DB" w14:paraId="1302F3DD" w14:textId="77777777" w:rsidTr="009C1E9A">
      <w:trPr>
        <w:cantSplit/>
      </w:trPr>
      <w:tc>
        <w:tcPr>
          <w:tcW w:w="0" w:type="pct"/>
        </w:tcPr>
        <w:p w14:paraId="005F56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974965" w14:textId="77777777" w:rsidR="00EC379B" w:rsidRPr="009C1E9A" w:rsidRDefault="004C19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18936</w:t>
          </w:r>
        </w:p>
      </w:tc>
      <w:tc>
        <w:tcPr>
          <w:tcW w:w="2453" w:type="pct"/>
        </w:tcPr>
        <w:p w14:paraId="1AE78C7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04CB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2DB" w14:paraId="1E326F2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522BDD" w14:textId="3B7DF8F4" w:rsidR="00EC379B" w:rsidRDefault="004C19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74C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69C1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DFD2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CBAF" w14:textId="77777777" w:rsidR="0006160B" w:rsidRDefault="00061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AEC65" w14:textId="77777777" w:rsidR="00000000" w:rsidRDefault="004C192D">
      <w:r>
        <w:separator/>
      </w:r>
    </w:p>
  </w:footnote>
  <w:footnote w:type="continuationSeparator" w:id="0">
    <w:p w14:paraId="43874A17" w14:textId="77777777" w:rsidR="00000000" w:rsidRDefault="004C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7CF2" w14:textId="77777777" w:rsidR="0006160B" w:rsidRDefault="00061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B145" w14:textId="77777777" w:rsidR="0006160B" w:rsidRDefault="00061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133B" w14:textId="77777777" w:rsidR="0006160B" w:rsidRDefault="00061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1D29"/>
    <w:multiLevelType w:val="hybridMultilevel"/>
    <w:tmpl w:val="D3226E16"/>
    <w:lvl w:ilvl="0" w:tplc="948AF54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BCC8B53E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9992EC14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52D05B9E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E309802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E503ABA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6D5CF23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EB60895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C72623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9B730AB"/>
    <w:multiLevelType w:val="hybridMultilevel"/>
    <w:tmpl w:val="76C29046"/>
    <w:lvl w:ilvl="0" w:tplc="571C2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A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0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C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C5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CC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64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4E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A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2E3"/>
    <w:multiLevelType w:val="hybridMultilevel"/>
    <w:tmpl w:val="B81218B2"/>
    <w:lvl w:ilvl="0" w:tplc="B3B4A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E9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AD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D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A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28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88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6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C0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7FB"/>
    <w:multiLevelType w:val="hybridMultilevel"/>
    <w:tmpl w:val="41AA614E"/>
    <w:lvl w:ilvl="0" w:tplc="8C88C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62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E5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6A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AB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0A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A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8C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A8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60B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87C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E86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168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1C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92D"/>
    <w:rsid w:val="004C22DB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BC8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AD6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31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F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8AC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2F7"/>
    <w:rsid w:val="00805402"/>
    <w:rsid w:val="0080765F"/>
    <w:rsid w:val="00812BE3"/>
    <w:rsid w:val="00814516"/>
    <w:rsid w:val="00815C9D"/>
    <w:rsid w:val="008170E2"/>
    <w:rsid w:val="00823E4C"/>
    <w:rsid w:val="00824D9E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295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664"/>
    <w:rsid w:val="009D4BBD"/>
    <w:rsid w:val="009D5A41"/>
    <w:rsid w:val="009D732F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B94"/>
    <w:rsid w:val="00AA597A"/>
    <w:rsid w:val="00AA7E52"/>
    <w:rsid w:val="00AB0E6C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938"/>
    <w:rsid w:val="00AE4F1C"/>
    <w:rsid w:val="00AF1433"/>
    <w:rsid w:val="00AF48B4"/>
    <w:rsid w:val="00AF4923"/>
    <w:rsid w:val="00AF74C4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A1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CF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7E5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CE3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851"/>
    <w:rsid w:val="00ED0665"/>
    <w:rsid w:val="00ED12C0"/>
    <w:rsid w:val="00ED19F0"/>
    <w:rsid w:val="00ED2B50"/>
    <w:rsid w:val="00ED3A32"/>
    <w:rsid w:val="00ED3BDE"/>
    <w:rsid w:val="00ED578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F7F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8C61C-75CA-4BE8-9E8E-B33E849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01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1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4483</Characters>
  <Application>Microsoft Office Word</Application>
  <DocSecurity>4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HB03696 (Committee Report (Substituted))</vt:lpstr>
    </vt:vector>
  </TitlesOfParts>
  <Company>State of Texas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21877</dc:subject>
  <dc:creator>State of Texas</dc:creator>
  <dc:description>HB 3696 by Deshotel-(H)State Affairs (Substitute Document Number: 87R 18936)</dc:description>
  <cp:lastModifiedBy>Stacey Nicchio</cp:lastModifiedBy>
  <cp:revision>2</cp:revision>
  <cp:lastPrinted>2003-11-26T17:21:00Z</cp:lastPrinted>
  <dcterms:created xsi:type="dcterms:W3CDTF">2021-04-28T22:22:00Z</dcterms:created>
  <dcterms:modified xsi:type="dcterms:W3CDTF">2021-04-28T22:22:00Z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21.115.432</vt:lpwstr>
  </property>
</Properties>
</file>