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B7677" w14:paraId="06148754" w14:textId="77777777" w:rsidTr="00345119">
        <w:tc>
          <w:tcPr>
            <w:tcW w:w="9576" w:type="dxa"/>
            <w:noWrap/>
          </w:tcPr>
          <w:p w14:paraId="7DD24100" w14:textId="77777777" w:rsidR="008423E4" w:rsidRPr="0022177D" w:rsidRDefault="00243171" w:rsidP="00BC1178">
            <w:pPr>
              <w:pStyle w:val="Heading1"/>
            </w:pPr>
            <w:bookmarkStart w:id="0" w:name="_GoBack"/>
            <w:bookmarkEnd w:id="0"/>
            <w:r w:rsidRPr="00631897">
              <w:t>BILL ANALYSIS</w:t>
            </w:r>
          </w:p>
        </w:tc>
      </w:tr>
    </w:tbl>
    <w:p w14:paraId="5C984B66" w14:textId="77777777" w:rsidR="008423E4" w:rsidRPr="0022177D" w:rsidRDefault="008423E4" w:rsidP="00BC1178">
      <w:pPr>
        <w:jc w:val="center"/>
      </w:pPr>
    </w:p>
    <w:p w14:paraId="5991767F" w14:textId="77777777" w:rsidR="008423E4" w:rsidRPr="00B31F0E" w:rsidRDefault="008423E4" w:rsidP="00BC1178"/>
    <w:p w14:paraId="3C7BDC4D" w14:textId="77777777" w:rsidR="008423E4" w:rsidRPr="00742794" w:rsidRDefault="008423E4" w:rsidP="00BC1178">
      <w:pPr>
        <w:tabs>
          <w:tab w:val="right" w:pos="9360"/>
        </w:tabs>
      </w:pPr>
    </w:p>
    <w:tbl>
      <w:tblPr>
        <w:tblW w:w="0" w:type="auto"/>
        <w:tblLayout w:type="fixed"/>
        <w:tblLook w:val="01E0" w:firstRow="1" w:lastRow="1" w:firstColumn="1" w:lastColumn="1" w:noHBand="0" w:noVBand="0"/>
      </w:tblPr>
      <w:tblGrid>
        <w:gridCol w:w="9576"/>
      </w:tblGrid>
      <w:tr w:rsidR="002B7677" w14:paraId="213834D6" w14:textId="77777777" w:rsidTr="00345119">
        <w:tc>
          <w:tcPr>
            <w:tcW w:w="9576" w:type="dxa"/>
          </w:tcPr>
          <w:p w14:paraId="76BF3A9B" w14:textId="591DC418" w:rsidR="008423E4" w:rsidRPr="00861995" w:rsidRDefault="00243171" w:rsidP="00BC1178">
            <w:pPr>
              <w:jc w:val="right"/>
            </w:pPr>
            <w:r>
              <w:t>C.S.H.B. 3742</w:t>
            </w:r>
          </w:p>
        </w:tc>
      </w:tr>
      <w:tr w:rsidR="002B7677" w14:paraId="015A8128" w14:textId="77777777" w:rsidTr="00345119">
        <w:tc>
          <w:tcPr>
            <w:tcW w:w="9576" w:type="dxa"/>
          </w:tcPr>
          <w:p w14:paraId="044FB835" w14:textId="4877F9F9" w:rsidR="008423E4" w:rsidRPr="00861995" w:rsidRDefault="00243171" w:rsidP="00BC1178">
            <w:pPr>
              <w:jc w:val="right"/>
            </w:pPr>
            <w:r>
              <w:t xml:space="preserve">By: </w:t>
            </w:r>
            <w:r w:rsidR="00A23CA3">
              <w:t>Capriglione</w:t>
            </w:r>
          </w:p>
        </w:tc>
      </w:tr>
      <w:tr w:rsidR="002B7677" w14:paraId="54B5F23F" w14:textId="77777777" w:rsidTr="00345119">
        <w:tc>
          <w:tcPr>
            <w:tcW w:w="9576" w:type="dxa"/>
          </w:tcPr>
          <w:p w14:paraId="08197BFB" w14:textId="23745A9C" w:rsidR="008423E4" w:rsidRPr="00861995" w:rsidRDefault="00243171" w:rsidP="00BC1178">
            <w:pPr>
              <w:jc w:val="right"/>
            </w:pPr>
            <w:r>
              <w:t>Insurance</w:t>
            </w:r>
          </w:p>
        </w:tc>
      </w:tr>
      <w:tr w:rsidR="002B7677" w14:paraId="290E3F53" w14:textId="77777777" w:rsidTr="00345119">
        <w:tc>
          <w:tcPr>
            <w:tcW w:w="9576" w:type="dxa"/>
          </w:tcPr>
          <w:p w14:paraId="631B4AB7" w14:textId="6B77685C" w:rsidR="008423E4" w:rsidRDefault="00243171" w:rsidP="00BC1178">
            <w:pPr>
              <w:jc w:val="right"/>
            </w:pPr>
            <w:r>
              <w:t>Committee Report (Substituted)</w:t>
            </w:r>
          </w:p>
        </w:tc>
      </w:tr>
    </w:tbl>
    <w:p w14:paraId="22A01BC3" w14:textId="77777777" w:rsidR="008423E4" w:rsidRDefault="008423E4" w:rsidP="00BC1178">
      <w:pPr>
        <w:tabs>
          <w:tab w:val="right" w:pos="9360"/>
        </w:tabs>
      </w:pPr>
    </w:p>
    <w:p w14:paraId="7355BBB0" w14:textId="77777777" w:rsidR="008423E4" w:rsidRDefault="008423E4" w:rsidP="00BC1178"/>
    <w:p w14:paraId="3B0E4374" w14:textId="77777777" w:rsidR="008423E4" w:rsidRDefault="008423E4" w:rsidP="00BC1178"/>
    <w:tbl>
      <w:tblPr>
        <w:tblW w:w="0" w:type="auto"/>
        <w:tblCellMar>
          <w:left w:w="115" w:type="dxa"/>
          <w:right w:w="115" w:type="dxa"/>
        </w:tblCellMar>
        <w:tblLook w:val="01E0" w:firstRow="1" w:lastRow="1" w:firstColumn="1" w:lastColumn="1" w:noHBand="0" w:noVBand="0"/>
      </w:tblPr>
      <w:tblGrid>
        <w:gridCol w:w="9360"/>
      </w:tblGrid>
      <w:tr w:rsidR="002B7677" w14:paraId="6281BB4C" w14:textId="77777777" w:rsidTr="00D02D82">
        <w:tc>
          <w:tcPr>
            <w:tcW w:w="9360" w:type="dxa"/>
          </w:tcPr>
          <w:p w14:paraId="2D3E7E00" w14:textId="77777777" w:rsidR="008423E4" w:rsidRPr="00A8133F" w:rsidRDefault="00243171" w:rsidP="00BC1178">
            <w:pPr>
              <w:rPr>
                <w:b/>
              </w:rPr>
            </w:pPr>
            <w:r w:rsidRPr="009C1E9A">
              <w:rPr>
                <w:b/>
                <w:u w:val="single"/>
              </w:rPr>
              <w:t>BACKGROUND AND PURPOSE</w:t>
            </w:r>
            <w:r>
              <w:rPr>
                <w:b/>
              </w:rPr>
              <w:t xml:space="preserve"> </w:t>
            </w:r>
          </w:p>
          <w:p w14:paraId="51749D11" w14:textId="77777777" w:rsidR="008423E4" w:rsidRDefault="008423E4" w:rsidP="00BC1178"/>
          <w:p w14:paraId="0D557B27" w14:textId="7EDFB5D8" w:rsidR="007D3312" w:rsidRDefault="00243171" w:rsidP="00BC1178">
            <w:pPr>
              <w:pStyle w:val="Header"/>
              <w:jc w:val="both"/>
            </w:pPr>
            <w:r>
              <w:t xml:space="preserve">Direct-to-consumer </w:t>
            </w:r>
            <w:r w:rsidR="00F14BF9">
              <w:t xml:space="preserve">genetic </w:t>
            </w:r>
            <w:r w:rsidR="00E77065">
              <w:t xml:space="preserve">testing </w:t>
            </w:r>
            <w:r>
              <w:t xml:space="preserve">kits </w:t>
            </w:r>
            <w:r w:rsidR="009515AB">
              <w:t xml:space="preserve">are </w:t>
            </w:r>
            <w:r>
              <w:t>increasing</w:t>
            </w:r>
            <w:r w:rsidR="009515AB">
              <w:t xml:space="preserve"> in popularity. These kits</w:t>
            </w:r>
            <w:r>
              <w:t xml:space="preserve"> allow individuals to assess their potential health risks by assess</w:t>
            </w:r>
            <w:r w:rsidR="009515AB">
              <w:t>ing</w:t>
            </w:r>
            <w:r>
              <w:t xml:space="preserve"> risk for </w:t>
            </w:r>
            <w:r w:rsidR="009515AB">
              <w:t xml:space="preserve">certain </w:t>
            </w:r>
            <w:r>
              <w:t xml:space="preserve">genetic diseases such as Alzheimer's </w:t>
            </w:r>
            <w:r w:rsidR="009515AB">
              <w:t xml:space="preserve">or </w:t>
            </w:r>
            <w:r>
              <w:t xml:space="preserve">Parkinson's disease. These tests </w:t>
            </w:r>
            <w:r w:rsidR="009515AB">
              <w:t xml:space="preserve">can </w:t>
            </w:r>
            <w:r>
              <w:t>also provide a "</w:t>
            </w:r>
            <w:r w:rsidR="009515AB">
              <w:t>c</w:t>
            </w:r>
            <w:r>
              <w:t xml:space="preserve">arrier </w:t>
            </w:r>
            <w:r w:rsidR="009515AB">
              <w:t>s</w:t>
            </w:r>
            <w:r>
              <w:t>tatus" report</w:t>
            </w:r>
            <w:r w:rsidR="009515AB">
              <w:t>,</w:t>
            </w:r>
            <w:r>
              <w:t xml:space="preserve"> which determines if a customer carries a genetic va</w:t>
            </w:r>
            <w:r>
              <w:t xml:space="preserve">riant for certain health conditions. Having a genetic variant for a health condition means that the carrier does not have the disease, but that they have the potential to pass it on to their children. With these new types of testing services, there is the </w:t>
            </w:r>
            <w:r>
              <w:t>potential for third</w:t>
            </w:r>
            <w:r w:rsidR="00625EF0">
              <w:t>-</w:t>
            </w:r>
            <w:r>
              <w:t xml:space="preserve">party companies to purchase results from the test administrators. </w:t>
            </w:r>
          </w:p>
          <w:p w14:paraId="397BE59D" w14:textId="77777777" w:rsidR="007D3312" w:rsidRDefault="007D3312" w:rsidP="00BC1178">
            <w:pPr>
              <w:pStyle w:val="Header"/>
              <w:jc w:val="both"/>
            </w:pPr>
          </w:p>
          <w:p w14:paraId="01BA7191" w14:textId="20478744" w:rsidR="008423E4" w:rsidRDefault="00243171" w:rsidP="00BC1178">
            <w:pPr>
              <w:pStyle w:val="Header"/>
              <w:jc w:val="both"/>
            </w:pPr>
            <w:r>
              <w:t xml:space="preserve">The </w:t>
            </w:r>
            <w:r w:rsidR="00E77065">
              <w:t xml:space="preserve">federal </w:t>
            </w:r>
            <w:r>
              <w:t>Genetic Information Nondiscrimination Act of 2008 prohibits health insurance companies from using genetic information to make coverage or rate decisions but</w:t>
            </w:r>
            <w:r>
              <w:t xml:space="preserve"> does not apply to life, disability, or long-term care insurance. </w:t>
            </w:r>
            <w:r w:rsidR="00E77065">
              <w:t>C.S.</w:t>
            </w:r>
            <w:r>
              <w:t>H</w:t>
            </w:r>
            <w:r w:rsidR="00E77065">
              <w:t>.</w:t>
            </w:r>
            <w:r>
              <w:t>B</w:t>
            </w:r>
            <w:r w:rsidR="00E77065">
              <w:t>.</w:t>
            </w:r>
            <w:r>
              <w:t xml:space="preserve"> 3742 </w:t>
            </w:r>
            <w:r w:rsidR="00E77065">
              <w:t xml:space="preserve">seeks to fill in the gaps of this federal legislation by </w:t>
            </w:r>
            <w:r>
              <w:t>prohibit</w:t>
            </w:r>
            <w:r w:rsidR="00E77065">
              <w:t>ing</w:t>
            </w:r>
            <w:r>
              <w:t xml:space="preserve"> long-term care </w:t>
            </w:r>
            <w:r w:rsidR="00E77065">
              <w:t xml:space="preserve">benefit plan </w:t>
            </w:r>
            <w:r>
              <w:t xml:space="preserve">insurers </w:t>
            </w:r>
            <w:r w:rsidR="00E77065">
              <w:t xml:space="preserve">and life insurance companies </w:t>
            </w:r>
            <w:r>
              <w:t xml:space="preserve">from </w:t>
            </w:r>
            <w:r w:rsidR="00E77065">
              <w:t>requiring an individual to furnish genetic information gathered from a direct</w:t>
            </w:r>
            <w:r w:rsidR="00625EF0">
              <w:noBreakHyphen/>
            </w:r>
            <w:r w:rsidR="00E77065">
              <w:t>to</w:t>
            </w:r>
            <w:r w:rsidR="009069B1">
              <w:noBreakHyphen/>
            </w:r>
            <w:r w:rsidR="00E77065">
              <w:t xml:space="preserve">consumer genetic test or from using such information to adversely affect </w:t>
            </w:r>
            <w:r w:rsidR="009515AB">
              <w:t>eligibility</w:t>
            </w:r>
            <w:r w:rsidR="00E77065">
              <w:t xml:space="preserve"> for or coverage under a plan or policy.</w:t>
            </w:r>
          </w:p>
          <w:p w14:paraId="68A379BA" w14:textId="77777777" w:rsidR="008423E4" w:rsidRPr="00E26B13" w:rsidRDefault="008423E4" w:rsidP="00BC1178">
            <w:pPr>
              <w:rPr>
                <w:b/>
              </w:rPr>
            </w:pPr>
          </w:p>
        </w:tc>
      </w:tr>
      <w:tr w:rsidR="002B7677" w14:paraId="1774C267" w14:textId="77777777" w:rsidTr="00D02D82">
        <w:tc>
          <w:tcPr>
            <w:tcW w:w="9360" w:type="dxa"/>
          </w:tcPr>
          <w:p w14:paraId="25FB4494" w14:textId="77777777" w:rsidR="0017725B" w:rsidRDefault="00243171" w:rsidP="00BC1178">
            <w:pPr>
              <w:rPr>
                <w:b/>
                <w:u w:val="single"/>
              </w:rPr>
            </w:pPr>
            <w:r>
              <w:rPr>
                <w:b/>
                <w:u w:val="single"/>
              </w:rPr>
              <w:t>CRIMINAL JUSTICE IMPACT</w:t>
            </w:r>
          </w:p>
          <w:p w14:paraId="33829FCF" w14:textId="77777777" w:rsidR="0017725B" w:rsidRDefault="0017725B" w:rsidP="00BC1178">
            <w:pPr>
              <w:rPr>
                <w:b/>
                <w:u w:val="single"/>
              </w:rPr>
            </w:pPr>
          </w:p>
          <w:p w14:paraId="35398AF6" w14:textId="77777777" w:rsidR="00EC03C6" w:rsidRPr="00EC03C6" w:rsidRDefault="00243171" w:rsidP="00BC1178">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14:paraId="7B94D322" w14:textId="77777777" w:rsidR="0017725B" w:rsidRPr="0017725B" w:rsidRDefault="0017725B" w:rsidP="00BC1178">
            <w:pPr>
              <w:rPr>
                <w:b/>
                <w:u w:val="single"/>
              </w:rPr>
            </w:pPr>
          </w:p>
        </w:tc>
      </w:tr>
      <w:tr w:rsidR="002B7677" w14:paraId="577064D1" w14:textId="77777777" w:rsidTr="00D02D82">
        <w:tc>
          <w:tcPr>
            <w:tcW w:w="9360" w:type="dxa"/>
          </w:tcPr>
          <w:p w14:paraId="7552B76A" w14:textId="77777777" w:rsidR="008423E4" w:rsidRPr="00A8133F" w:rsidRDefault="00243171" w:rsidP="00BC1178">
            <w:pPr>
              <w:rPr>
                <w:b/>
              </w:rPr>
            </w:pPr>
            <w:r w:rsidRPr="009C1E9A">
              <w:rPr>
                <w:b/>
                <w:u w:val="single"/>
              </w:rPr>
              <w:t>RULEMAKING AUTHORITY</w:t>
            </w:r>
            <w:r>
              <w:rPr>
                <w:b/>
              </w:rPr>
              <w:t xml:space="preserve"> </w:t>
            </w:r>
          </w:p>
          <w:p w14:paraId="01536116" w14:textId="77777777" w:rsidR="008423E4" w:rsidRDefault="008423E4" w:rsidP="00BC1178"/>
          <w:p w14:paraId="76C03AF7" w14:textId="77777777" w:rsidR="00EC03C6" w:rsidRDefault="00243171" w:rsidP="00BC1178">
            <w:pPr>
              <w:pStyle w:val="Header"/>
              <w:tabs>
                <w:tab w:val="clear" w:pos="4320"/>
                <w:tab w:val="clear" w:pos="8640"/>
              </w:tabs>
              <w:jc w:val="both"/>
            </w:pPr>
            <w:r>
              <w:t>It is the com</w:t>
            </w:r>
            <w:r>
              <w:t>mittee's opinion that this bill does not expressly grant any additional rulemaking authority to a state officer, department, agency, or institution.</w:t>
            </w:r>
          </w:p>
          <w:p w14:paraId="47A31BDA" w14:textId="77777777" w:rsidR="008423E4" w:rsidRPr="00E21FDC" w:rsidRDefault="008423E4" w:rsidP="00BC1178">
            <w:pPr>
              <w:rPr>
                <w:b/>
              </w:rPr>
            </w:pPr>
          </w:p>
        </w:tc>
      </w:tr>
      <w:tr w:rsidR="002B7677" w14:paraId="21E983FE" w14:textId="77777777" w:rsidTr="00D02D82">
        <w:tc>
          <w:tcPr>
            <w:tcW w:w="9360" w:type="dxa"/>
          </w:tcPr>
          <w:p w14:paraId="0DD891FA" w14:textId="77777777" w:rsidR="008423E4" w:rsidRPr="00A8133F" w:rsidRDefault="00243171" w:rsidP="00BC1178">
            <w:pPr>
              <w:rPr>
                <w:b/>
              </w:rPr>
            </w:pPr>
            <w:r w:rsidRPr="009C1E9A">
              <w:rPr>
                <w:b/>
                <w:u w:val="single"/>
              </w:rPr>
              <w:t>ANALYSIS</w:t>
            </w:r>
            <w:r>
              <w:rPr>
                <w:b/>
              </w:rPr>
              <w:t xml:space="preserve"> </w:t>
            </w:r>
          </w:p>
          <w:p w14:paraId="4864D473" w14:textId="77777777" w:rsidR="008423E4" w:rsidRDefault="008423E4" w:rsidP="00BC1178"/>
          <w:p w14:paraId="0C6DE9E2" w14:textId="4107294F" w:rsidR="00C274A0" w:rsidRDefault="00243171" w:rsidP="00BC1178">
            <w:pPr>
              <w:pStyle w:val="Header"/>
              <w:tabs>
                <w:tab w:val="clear" w:pos="4320"/>
                <w:tab w:val="clear" w:pos="8640"/>
              </w:tabs>
              <w:jc w:val="both"/>
            </w:pPr>
            <w:r>
              <w:t>C.S.</w:t>
            </w:r>
            <w:r w:rsidR="00EC03C6">
              <w:t xml:space="preserve">H.B. 3742 amends the Insurance Code to prohibit a long-term care benefit plan issuer or life insurance company from </w:t>
            </w:r>
            <w:r>
              <w:t xml:space="preserve">doing the following with respect to </w:t>
            </w:r>
            <w:r w:rsidR="001807E4">
              <w:t xml:space="preserve">information gathered from a </w:t>
            </w:r>
            <w:r>
              <w:t>direct-to-consumer genetic test without written consent from an individual apply</w:t>
            </w:r>
            <w:r w:rsidR="007D3312">
              <w:t>ing</w:t>
            </w:r>
            <w:r>
              <w:t xml:space="preserve"> for coverage under a long-term care benefit plan or life insuran</w:t>
            </w:r>
            <w:r>
              <w:t xml:space="preserve">ce </w:t>
            </w:r>
            <w:r w:rsidR="00625EF0">
              <w:t>policy</w:t>
            </w:r>
            <w:r>
              <w:t>:</w:t>
            </w:r>
          </w:p>
          <w:p w14:paraId="4C9E5A84" w14:textId="73D13159" w:rsidR="00C274A0" w:rsidRDefault="00243171" w:rsidP="00BC1178">
            <w:pPr>
              <w:pStyle w:val="Header"/>
              <w:numPr>
                <w:ilvl w:val="0"/>
                <w:numId w:val="2"/>
              </w:numPr>
              <w:tabs>
                <w:tab w:val="clear" w:pos="4320"/>
                <w:tab w:val="clear" w:pos="8640"/>
              </w:tabs>
              <w:jc w:val="both"/>
            </w:pPr>
            <w:r>
              <w:t>requiring the individual to furnish genetic information gathered from such a test; or</w:t>
            </w:r>
          </w:p>
          <w:p w14:paraId="3D21AE46" w14:textId="74B766DD" w:rsidR="00C274A0" w:rsidRDefault="00243171" w:rsidP="00BC1178">
            <w:pPr>
              <w:pStyle w:val="Header"/>
              <w:numPr>
                <w:ilvl w:val="0"/>
                <w:numId w:val="2"/>
              </w:numPr>
              <w:tabs>
                <w:tab w:val="clear" w:pos="4320"/>
                <w:tab w:val="clear" w:pos="8640"/>
              </w:tabs>
              <w:jc w:val="both"/>
            </w:pPr>
            <w:r>
              <w:t>using genetic information gathered from such a test to reject, deny, limit, increase the premiums for, or otherwise adversely affect eligibility for or coverag</w:t>
            </w:r>
            <w:r>
              <w:t xml:space="preserve">e under the plan or policy. </w:t>
            </w:r>
          </w:p>
          <w:p w14:paraId="048EF4DA" w14:textId="75B7F63E" w:rsidR="00C274A0" w:rsidRDefault="00243171" w:rsidP="00BC1178">
            <w:pPr>
              <w:pStyle w:val="Header"/>
              <w:tabs>
                <w:tab w:val="clear" w:pos="4320"/>
                <w:tab w:val="clear" w:pos="8640"/>
              </w:tabs>
              <w:jc w:val="both"/>
            </w:pPr>
            <w:r>
              <w:t xml:space="preserve">This prohibition may not be construed to </w:t>
            </w:r>
            <w:r w:rsidRPr="00C274A0">
              <w:t>prohibit or limit the ability of an insurer to request and obtain medical information from an individual applying for insurance</w:t>
            </w:r>
            <w:r>
              <w:t>.</w:t>
            </w:r>
          </w:p>
          <w:p w14:paraId="2D6E96F8" w14:textId="77777777" w:rsidR="004A0EE9" w:rsidRDefault="004A0EE9" w:rsidP="00BC1178">
            <w:pPr>
              <w:pStyle w:val="Header"/>
              <w:tabs>
                <w:tab w:val="clear" w:pos="4320"/>
                <w:tab w:val="clear" w:pos="8640"/>
              </w:tabs>
              <w:jc w:val="both"/>
            </w:pPr>
          </w:p>
          <w:p w14:paraId="0EA8E862" w14:textId="2D28296A" w:rsidR="00380DC0" w:rsidRDefault="00243171" w:rsidP="00BC1178">
            <w:pPr>
              <w:pStyle w:val="Header"/>
              <w:tabs>
                <w:tab w:val="clear" w:pos="4320"/>
                <w:tab w:val="clear" w:pos="8640"/>
              </w:tabs>
              <w:jc w:val="both"/>
            </w:pPr>
            <w:r>
              <w:t>C.S.H.B. 3742</w:t>
            </w:r>
            <w:r w:rsidR="00EC03C6">
              <w:t xml:space="preserve"> </w:t>
            </w:r>
            <w:r w:rsidR="00606064">
              <w:t xml:space="preserve">specifies what constitutes a </w:t>
            </w:r>
            <w:r w:rsidR="00EC03C6">
              <w:t xml:space="preserve">"long-term care benefit plan" </w:t>
            </w:r>
            <w:r w:rsidR="00606064">
              <w:t>and establishes that t</w:t>
            </w:r>
            <w:r>
              <w:t>he term does not include an insurance policy, group certificate, or evidence of coverage that is offered primarily to provide</w:t>
            </w:r>
            <w:r w:rsidR="00606064">
              <w:t xml:space="preserve"> one of the following</w:t>
            </w:r>
            <w:r>
              <w:t>:</w:t>
            </w:r>
          </w:p>
          <w:p w14:paraId="00E7AFBA" w14:textId="77777777" w:rsidR="00380DC0" w:rsidRDefault="00243171" w:rsidP="00BC1178">
            <w:pPr>
              <w:pStyle w:val="Header"/>
              <w:numPr>
                <w:ilvl w:val="0"/>
                <w:numId w:val="1"/>
              </w:numPr>
              <w:jc w:val="both"/>
            </w:pPr>
            <w:r>
              <w:t>basic Medicare</w:t>
            </w:r>
            <w:r>
              <w:t xml:space="preserve"> supplement coverage, basic hospital expense coverage, basic medical-surgical expense coverage, hospital confinement indemnity coverage, major medical expense coverage, disability income protection coverage, accident-only coverage, specified disease or spe</w:t>
            </w:r>
            <w:r>
              <w:t>cified accident coverage, or limited benefit health coverage; or</w:t>
            </w:r>
          </w:p>
          <w:p w14:paraId="534D27EB" w14:textId="7D35C6C5" w:rsidR="00380DC0" w:rsidRDefault="00243171" w:rsidP="00BC1178">
            <w:pPr>
              <w:pStyle w:val="Header"/>
              <w:numPr>
                <w:ilvl w:val="0"/>
                <w:numId w:val="1"/>
              </w:numPr>
              <w:jc w:val="both"/>
            </w:pPr>
            <w:r>
              <w:t>basic or single health care services.</w:t>
            </w:r>
          </w:p>
          <w:p w14:paraId="520148CC" w14:textId="77777777" w:rsidR="00BC198A" w:rsidRDefault="00BC198A" w:rsidP="00BC1178">
            <w:pPr>
              <w:pStyle w:val="Header"/>
              <w:jc w:val="both"/>
            </w:pPr>
          </w:p>
          <w:p w14:paraId="1652AB07" w14:textId="78C99428" w:rsidR="00BC198A" w:rsidRPr="009C36CD" w:rsidRDefault="00243171" w:rsidP="00BC1178">
            <w:pPr>
              <w:pStyle w:val="Header"/>
              <w:jc w:val="both"/>
            </w:pPr>
            <w:r>
              <w:t>C.S.H.B. 3742 establishes, and provides certain exceptions to, the applicability</w:t>
            </w:r>
            <w:r w:rsidR="00716BB9">
              <w:t xml:space="preserve"> of its provisions and applies only to </w:t>
            </w:r>
            <w:r w:rsidR="00716BB9" w:rsidRPr="00716BB9">
              <w:t>an insurance policy, contract, or evidence of coverage delivered, issued for delivery, or renewed on or after January 1, 2022.</w:t>
            </w:r>
          </w:p>
          <w:p w14:paraId="7C77FB1D" w14:textId="77777777" w:rsidR="008423E4" w:rsidRPr="00835628" w:rsidRDefault="008423E4" w:rsidP="00BC1178">
            <w:pPr>
              <w:rPr>
                <w:b/>
              </w:rPr>
            </w:pPr>
          </w:p>
        </w:tc>
      </w:tr>
      <w:tr w:rsidR="002B7677" w14:paraId="645B312C" w14:textId="77777777" w:rsidTr="00D02D82">
        <w:tc>
          <w:tcPr>
            <w:tcW w:w="9360" w:type="dxa"/>
          </w:tcPr>
          <w:p w14:paraId="167975E0" w14:textId="77777777" w:rsidR="008423E4" w:rsidRPr="00A8133F" w:rsidRDefault="00243171" w:rsidP="00BC1178">
            <w:pPr>
              <w:rPr>
                <w:b/>
              </w:rPr>
            </w:pPr>
            <w:r w:rsidRPr="009C1E9A">
              <w:rPr>
                <w:b/>
                <w:u w:val="single"/>
              </w:rPr>
              <w:t>EFFECTIVE DATE</w:t>
            </w:r>
            <w:r>
              <w:rPr>
                <w:b/>
              </w:rPr>
              <w:t xml:space="preserve"> </w:t>
            </w:r>
          </w:p>
          <w:p w14:paraId="4CABDA9B" w14:textId="77777777" w:rsidR="008423E4" w:rsidRDefault="008423E4" w:rsidP="00BC1178"/>
          <w:p w14:paraId="77EE4A0A" w14:textId="77777777" w:rsidR="008423E4" w:rsidRPr="003624F2" w:rsidRDefault="00243171" w:rsidP="00BC1178">
            <w:pPr>
              <w:pStyle w:val="Header"/>
              <w:tabs>
                <w:tab w:val="clear" w:pos="4320"/>
                <w:tab w:val="clear" w:pos="8640"/>
              </w:tabs>
              <w:jc w:val="both"/>
            </w:pPr>
            <w:r>
              <w:t>September 1, 2021.</w:t>
            </w:r>
          </w:p>
          <w:p w14:paraId="0B9B6AC1" w14:textId="77777777" w:rsidR="008423E4" w:rsidRPr="00233FDB" w:rsidRDefault="008423E4" w:rsidP="00BC1178">
            <w:pPr>
              <w:rPr>
                <w:b/>
              </w:rPr>
            </w:pPr>
          </w:p>
        </w:tc>
      </w:tr>
      <w:tr w:rsidR="002B7677" w14:paraId="2AC5268B" w14:textId="77777777" w:rsidTr="00D02D82">
        <w:tc>
          <w:tcPr>
            <w:tcW w:w="9360" w:type="dxa"/>
          </w:tcPr>
          <w:p w14:paraId="3B60553E" w14:textId="77777777" w:rsidR="00A23CA3" w:rsidRDefault="00243171" w:rsidP="00BC1178">
            <w:pPr>
              <w:jc w:val="both"/>
              <w:rPr>
                <w:b/>
                <w:u w:val="single"/>
              </w:rPr>
            </w:pPr>
            <w:r>
              <w:rPr>
                <w:b/>
                <w:u w:val="single"/>
              </w:rPr>
              <w:t>COMPARISON OF ORIGINAL AND SUBSTITUTE</w:t>
            </w:r>
          </w:p>
          <w:p w14:paraId="404C81A2" w14:textId="77777777" w:rsidR="00606064" w:rsidRDefault="00606064" w:rsidP="00BC1178">
            <w:pPr>
              <w:jc w:val="both"/>
            </w:pPr>
          </w:p>
          <w:p w14:paraId="30DA7F2A" w14:textId="6BCFFE02" w:rsidR="00606064" w:rsidRDefault="00243171" w:rsidP="00BC1178">
            <w:pPr>
              <w:jc w:val="both"/>
            </w:pPr>
            <w:r>
              <w:t>While C.S.H.B. 3742 may differ from the original i</w:t>
            </w:r>
            <w:r>
              <w:t>n minor or nonsubstantive ways, the following summarizes the substantial differences between the introduced and committee substitute versions of the bill.</w:t>
            </w:r>
          </w:p>
          <w:p w14:paraId="25507F73" w14:textId="5F63A709" w:rsidR="00606064" w:rsidRDefault="00606064" w:rsidP="00BC1178">
            <w:pPr>
              <w:jc w:val="both"/>
            </w:pPr>
          </w:p>
          <w:p w14:paraId="0D0BDC50" w14:textId="3977A97D" w:rsidR="00606064" w:rsidRDefault="00243171" w:rsidP="00BC1178">
            <w:pPr>
              <w:jc w:val="both"/>
            </w:pPr>
            <w:r>
              <w:t>The substitute revises the original's prohibition regarding the use of information gathered from dir</w:t>
            </w:r>
            <w:r>
              <w:t>ect-to-consumer genetic tests as follows:</w:t>
            </w:r>
          </w:p>
          <w:p w14:paraId="75A84E5A" w14:textId="63395C66" w:rsidR="008F08C4" w:rsidRDefault="00243171" w:rsidP="00BC1178">
            <w:pPr>
              <w:pStyle w:val="ListParagraph"/>
              <w:numPr>
                <w:ilvl w:val="0"/>
                <w:numId w:val="3"/>
              </w:numPr>
              <w:contextualSpacing w:val="0"/>
              <w:jc w:val="both"/>
            </w:pPr>
            <w:r>
              <w:t>expands the prohibited conduct to include requiring an individual to furnish genetic information gathered from such a test;</w:t>
            </w:r>
          </w:p>
          <w:p w14:paraId="2AC88CD1" w14:textId="4AC88833" w:rsidR="008F08C4" w:rsidRDefault="00243171" w:rsidP="00BC1178">
            <w:pPr>
              <w:pStyle w:val="ListParagraph"/>
              <w:numPr>
                <w:ilvl w:val="0"/>
                <w:numId w:val="3"/>
              </w:numPr>
              <w:contextualSpacing w:val="0"/>
              <w:jc w:val="both"/>
            </w:pPr>
            <w:r>
              <w:t xml:space="preserve">removes canceling or refusing to renew a </w:t>
            </w:r>
            <w:r w:rsidR="001807E4">
              <w:t xml:space="preserve">plan or </w:t>
            </w:r>
            <w:r>
              <w:t xml:space="preserve">policy from the list of actions a plan issuer or insurance company may not take on the basis of genetic information gathered from such a </w:t>
            </w:r>
            <w:r w:rsidR="001807E4">
              <w:t>test</w:t>
            </w:r>
            <w:r>
              <w:t>; and</w:t>
            </w:r>
          </w:p>
          <w:p w14:paraId="2A9AA06E" w14:textId="79E1F9E6" w:rsidR="008F08C4" w:rsidRDefault="00243171" w:rsidP="00BC1178">
            <w:pPr>
              <w:pStyle w:val="ListParagraph"/>
              <w:numPr>
                <w:ilvl w:val="0"/>
                <w:numId w:val="3"/>
              </w:numPr>
              <w:contextualSpacing w:val="0"/>
              <w:jc w:val="both"/>
            </w:pPr>
            <w:r>
              <w:t>conditions the prohibition on the plan issuer or insurance company not receiving written consent from an indi</w:t>
            </w:r>
            <w:r>
              <w:t>vidual apply</w:t>
            </w:r>
            <w:r w:rsidR="00DC6C8F">
              <w:t>ing</w:t>
            </w:r>
            <w:r>
              <w:t xml:space="preserve"> for coverage under a long-term care benefit plan or life insurance policy.</w:t>
            </w:r>
          </w:p>
          <w:p w14:paraId="3859E9A9" w14:textId="6D65632C" w:rsidR="008F08C4" w:rsidRDefault="00243171" w:rsidP="00BC1178">
            <w:pPr>
              <w:jc w:val="both"/>
            </w:pPr>
            <w:r>
              <w:t xml:space="preserve">The substitute includes a provision not in the original providing that the prohibition may not be </w:t>
            </w:r>
            <w:r w:rsidRPr="008F08C4">
              <w:t>construed to prohibit or limit the ability of an insurer to request</w:t>
            </w:r>
            <w:r w:rsidRPr="008F08C4">
              <w:t xml:space="preserve"> and obtain medical information from an individual applying for insurance</w:t>
            </w:r>
            <w:r>
              <w:t>.</w:t>
            </w:r>
          </w:p>
          <w:p w14:paraId="659A7E1A" w14:textId="0EEE9521" w:rsidR="00727B60" w:rsidRDefault="00727B60" w:rsidP="00BC1178">
            <w:pPr>
              <w:jc w:val="both"/>
            </w:pPr>
          </w:p>
          <w:p w14:paraId="447BEC36" w14:textId="77777777" w:rsidR="00DB3676" w:rsidRDefault="00243171" w:rsidP="00BC1178">
            <w:pPr>
              <w:jc w:val="both"/>
            </w:pPr>
            <w:r>
              <w:t>The substitute revises the bill's applicability as set out in the original to remove the following:</w:t>
            </w:r>
          </w:p>
          <w:p w14:paraId="71DBC6C3" w14:textId="76701AD8" w:rsidR="00727B60" w:rsidRDefault="00243171" w:rsidP="00BC1178">
            <w:pPr>
              <w:pStyle w:val="ListParagraph"/>
              <w:numPr>
                <w:ilvl w:val="0"/>
                <w:numId w:val="4"/>
              </w:numPr>
              <w:contextualSpacing w:val="0"/>
              <w:jc w:val="both"/>
            </w:pPr>
            <w:r w:rsidRPr="00727B60">
              <w:t>a certificate issued under a group long-term care benefit plan issued to an elig</w:t>
            </w:r>
            <w:r w:rsidRPr="00727B60">
              <w:t>ible group</w:t>
            </w:r>
            <w:r w:rsidR="00DB3676">
              <w:t xml:space="preserve"> that </w:t>
            </w:r>
            <w:r w:rsidRPr="00727B60">
              <w:t xml:space="preserve">is delivered or issued for delivery in </w:t>
            </w:r>
            <w:r w:rsidR="00DB3676">
              <w:t>Texas; and</w:t>
            </w:r>
          </w:p>
          <w:p w14:paraId="76B859EA" w14:textId="6D811EE9" w:rsidR="00DB3676" w:rsidRDefault="00243171" w:rsidP="00BC1178">
            <w:pPr>
              <w:pStyle w:val="ListParagraph"/>
              <w:numPr>
                <w:ilvl w:val="0"/>
                <w:numId w:val="4"/>
              </w:numPr>
              <w:contextualSpacing w:val="0"/>
              <w:jc w:val="both"/>
            </w:pPr>
            <w:r>
              <w:t>a life insurance policy that is not issued or delivered in Texas but is issued by a life insurance company organized under state law.</w:t>
            </w:r>
          </w:p>
          <w:p w14:paraId="0D8BBAD2" w14:textId="0A1DF7D4" w:rsidR="00DB3676" w:rsidRDefault="00243171" w:rsidP="00BC1178">
            <w:pPr>
              <w:jc w:val="both"/>
            </w:pPr>
            <w:r>
              <w:t xml:space="preserve">The </w:t>
            </w:r>
            <w:r w:rsidR="007B25C4">
              <w:t>substitute</w:t>
            </w:r>
            <w:r>
              <w:t xml:space="preserve"> expands the exemptions to the bill's provisions </w:t>
            </w:r>
            <w:r w:rsidR="007B25C4">
              <w:t xml:space="preserve">as set out in the original </w:t>
            </w:r>
            <w:r>
              <w:t xml:space="preserve">to include a group policy that is delivered or issued for delivery in Texas under a single employer or labor union group policy </w:t>
            </w:r>
            <w:r w:rsidR="00DC6C8F">
              <w:t>t</w:t>
            </w:r>
            <w:r>
              <w:t>hat is delivered or issued f</w:t>
            </w:r>
            <w:r w:rsidR="009C5695">
              <w:t>or</w:t>
            </w:r>
            <w:r>
              <w:t xml:space="preserve"> delivery outside Tex</w:t>
            </w:r>
            <w:r>
              <w:t>as.</w:t>
            </w:r>
            <w:r w:rsidR="007B25C4">
              <w:t xml:space="preserve"> The substitute clarifies that the benefit plans exempted from the bill include health benefit plans that are not advertised, marke</w:t>
            </w:r>
            <w:r w:rsidR="00DC6C8F">
              <w:t>te</w:t>
            </w:r>
            <w:r w:rsidR="007B25C4">
              <w:t>d, or offered as long-term care benefit plans or nursing home benefit plans.</w:t>
            </w:r>
          </w:p>
          <w:p w14:paraId="6505CE38" w14:textId="4EC7CB27" w:rsidR="00606064" w:rsidRPr="00606064" w:rsidRDefault="00606064" w:rsidP="00BC1178">
            <w:pPr>
              <w:jc w:val="both"/>
            </w:pPr>
          </w:p>
        </w:tc>
      </w:tr>
    </w:tbl>
    <w:p w14:paraId="197A54A1" w14:textId="77777777" w:rsidR="008423E4" w:rsidRPr="00BE0E75" w:rsidRDefault="008423E4" w:rsidP="00BC1178">
      <w:pPr>
        <w:jc w:val="both"/>
        <w:rPr>
          <w:rFonts w:ascii="Arial" w:hAnsi="Arial"/>
          <w:sz w:val="16"/>
          <w:szCs w:val="16"/>
        </w:rPr>
      </w:pPr>
    </w:p>
    <w:p w14:paraId="050D70B2" w14:textId="77777777" w:rsidR="004108C3" w:rsidRPr="008423E4" w:rsidRDefault="004108C3" w:rsidP="00BC117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C36D0" w14:textId="77777777" w:rsidR="00000000" w:rsidRDefault="00243171">
      <w:r>
        <w:separator/>
      </w:r>
    </w:p>
  </w:endnote>
  <w:endnote w:type="continuationSeparator" w:id="0">
    <w:p w14:paraId="1E7001BD" w14:textId="77777777" w:rsidR="00000000" w:rsidRDefault="0024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2F1A" w14:textId="77777777" w:rsidR="004A0EE9" w:rsidRDefault="004A0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B7677" w14:paraId="48D42D3C" w14:textId="77777777" w:rsidTr="009C1E9A">
      <w:trPr>
        <w:cantSplit/>
      </w:trPr>
      <w:tc>
        <w:tcPr>
          <w:tcW w:w="0" w:type="pct"/>
        </w:tcPr>
        <w:p w14:paraId="53FEA7C4" w14:textId="77777777" w:rsidR="00137D90" w:rsidRDefault="00137D90" w:rsidP="009C1E9A">
          <w:pPr>
            <w:pStyle w:val="Footer"/>
            <w:tabs>
              <w:tab w:val="clear" w:pos="8640"/>
              <w:tab w:val="right" w:pos="9360"/>
            </w:tabs>
          </w:pPr>
        </w:p>
      </w:tc>
      <w:tc>
        <w:tcPr>
          <w:tcW w:w="2395" w:type="pct"/>
        </w:tcPr>
        <w:p w14:paraId="6B76DA00" w14:textId="77777777" w:rsidR="00137D90" w:rsidRDefault="00137D90" w:rsidP="009C1E9A">
          <w:pPr>
            <w:pStyle w:val="Footer"/>
            <w:tabs>
              <w:tab w:val="clear" w:pos="8640"/>
              <w:tab w:val="right" w:pos="9360"/>
            </w:tabs>
          </w:pPr>
        </w:p>
        <w:p w14:paraId="49961CFF" w14:textId="77777777" w:rsidR="001A4310" w:rsidRDefault="001A4310" w:rsidP="009C1E9A">
          <w:pPr>
            <w:pStyle w:val="Footer"/>
            <w:tabs>
              <w:tab w:val="clear" w:pos="8640"/>
              <w:tab w:val="right" w:pos="9360"/>
            </w:tabs>
          </w:pPr>
        </w:p>
        <w:p w14:paraId="1EE34B2A" w14:textId="77777777" w:rsidR="00137D90" w:rsidRDefault="00137D90" w:rsidP="009C1E9A">
          <w:pPr>
            <w:pStyle w:val="Footer"/>
            <w:tabs>
              <w:tab w:val="clear" w:pos="8640"/>
              <w:tab w:val="right" w:pos="9360"/>
            </w:tabs>
          </w:pPr>
        </w:p>
      </w:tc>
      <w:tc>
        <w:tcPr>
          <w:tcW w:w="2453" w:type="pct"/>
        </w:tcPr>
        <w:p w14:paraId="10C74CA6" w14:textId="77777777" w:rsidR="00137D90" w:rsidRDefault="00137D90" w:rsidP="009C1E9A">
          <w:pPr>
            <w:pStyle w:val="Footer"/>
            <w:tabs>
              <w:tab w:val="clear" w:pos="8640"/>
              <w:tab w:val="right" w:pos="9360"/>
            </w:tabs>
            <w:jc w:val="right"/>
          </w:pPr>
        </w:p>
      </w:tc>
    </w:tr>
    <w:tr w:rsidR="002B7677" w14:paraId="306C2E6F" w14:textId="77777777" w:rsidTr="009C1E9A">
      <w:trPr>
        <w:cantSplit/>
      </w:trPr>
      <w:tc>
        <w:tcPr>
          <w:tcW w:w="0" w:type="pct"/>
        </w:tcPr>
        <w:p w14:paraId="0ED821BA" w14:textId="77777777" w:rsidR="00EC379B" w:rsidRDefault="00EC379B" w:rsidP="009C1E9A">
          <w:pPr>
            <w:pStyle w:val="Footer"/>
            <w:tabs>
              <w:tab w:val="clear" w:pos="8640"/>
              <w:tab w:val="right" w:pos="9360"/>
            </w:tabs>
          </w:pPr>
        </w:p>
      </w:tc>
      <w:tc>
        <w:tcPr>
          <w:tcW w:w="2395" w:type="pct"/>
        </w:tcPr>
        <w:p w14:paraId="1492A8A0" w14:textId="465B751B" w:rsidR="00EC379B" w:rsidRPr="009C1E9A" w:rsidRDefault="00243171" w:rsidP="009C1E9A">
          <w:pPr>
            <w:pStyle w:val="Footer"/>
            <w:tabs>
              <w:tab w:val="clear" w:pos="8640"/>
              <w:tab w:val="right" w:pos="9360"/>
            </w:tabs>
            <w:rPr>
              <w:rFonts w:ascii="Shruti" w:hAnsi="Shruti"/>
              <w:sz w:val="22"/>
            </w:rPr>
          </w:pPr>
          <w:r>
            <w:rPr>
              <w:rFonts w:ascii="Shruti" w:hAnsi="Shruti"/>
              <w:sz w:val="22"/>
            </w:rPr>
            <w:t>87R 24212</w:t>
          </w:r>
        </w:p>
      </w:tc>
      <w:tc>
        <w:tcPr>
          <w:tcW w:w="2453" w:type="pct"/>
        </w:tcPr>
        <w:p w14:paraId="595BC39C" w14:textId="2E88CCC5" w:rsidR="00EC379B" w:rsidRDefault="00243171" w:rsidP="009C1E9A">
          <w:pPr>
            <w:pStyle w:val="Footer"/>
            <w:tabs>
              <w:tab w:val="clear" w:pos="8640"/>
              <w:tab w:val="right" w:pos="9360"/>
            </w:tabs>
            <w:jc w:val="right"/>
          </w:pPr>
          <w:r>
            <w:fldChar w:fldCharType="begin"/>
          </w:r>
          <w:r>
            <w:instrText xml:space="preserve"> DOCPROPERTY  OTID  \* MERGEFORMAT </w:instrText>
          </w:r>
          <w:r>
            <w:fldChar w:fldCharType="separate"/>
          </w:r>
          <w:r w:rsidR="009E3A67">
            <w:t>21.123.1159</w:t>
          </w:r>
          <w:r>
            <w:fldChar w:fldCharType="end"/>
          </w:r>
        </w:p>
      </w:tc>
    </w:tr>
    <w:tr w:rsidR="002B7677" w14:paraId="627F412B" w14:textId="77777777" w:rsidTr="009C1E9A">
      <w:trPr>
        <w:cantSplit/>
      </w:trPr>
      <w:tc>
        <w:tcPr>
          <w:tcW w:w="0" w:type="pct"/>
        </w:tcPr>
        <w:p w14:paraId="413E2E58" w14:textId="77777777" w:rsidR="00EC379B" w:rsidRDefault="00EC379B" w:rsidP="009C1E9A">
          <w:pPr>
            <w:pStyle w:val="Footer"/>
            <w:tabs>
              <w:tab w:val="clear" w:pos="4320"/>
              <w:tab w:val="clear" w:pos="8640"/>
              <w:tab w:val="left" w:pos="2865"/>
            </w:tabs>
          </w:pPr>
        </w:p>
      </w:tc>
      <w:tc>
        <w:tcPr>
          <w:tcW w:w="2395" w:type="pct"/>
        </w:tcPr>
        <w:p w14:paraId="0984AD87" w14:textId="6E3C502A" w:rsidR="00EC379B" w:rsidRPr="009C1E9A" w:rsidRDefault="00243171" w:rsidP="009C1E9A">
          <w:pPr>
            <w:pStyle w:val="Footer"/>
            <w:tabs>
              <w:tab w:val="clear" w:pos="4320"/>
              <w:tab w:val="clear" w:pos="8640"/>
              <w:tab w:val="left" w:pos="2865"/>
            </w:tabs>
            <w:rPr>
              <w:rFonts w:ascii="Shruti" w:hAnsi="Shruti"/>
              <w:sz w:val="22"/>
            </w:rPr>
          </w:pPr>
          <w:r>
            <w:rPr>
              <w:rFonts w:ascii="Shruti" w:hAnsi="Shruti"/>
              <w:sz w:val="22"/>
            </w:rPr>
            <w:t>Substitute Document Number: 87R 23046</w:t>
          </w:r>
        </w:p>
      </w:tc>
      <w:tc>
        <w:tcPr>
          <w:tcW w:w="2453" w:type="pct"/>
        </w:tcPr>
        <w:p w14:paraId="4201D96D" w14:textId="77777777" w:rsidR="00EC379B" w:rsidRDefault="00EC379B" w:rsidP="006D504F">
          <w:pPr>
            <w:pStyle w:val="Footer"/>
            <w:rPr>
              <w:rStyle w:val="PageNumber"/>
            </w:rPr>
          </w:pPr>
        </w:p>
        <w:p w14:paraId="5BFF0C14" w14:textId="77777777" w:rsidR="00EC379B" w:rsidRDefault="00EC379B" w:rsidP="009C1E9A">
          <w:pPr>
            <w:pStyle w:val="Footer"/>
            <w:tabs>
              <w:tab w:val="clear" w:pos="8640"/>
              <w:tab w:val="right" w:pos="9360"/>
            </w:tabs>
            <w:jc w:val="right"/>
          </w:pPr>
        </w:p>
      </w:tc>
    </w:tr>
    <w:tr w:rsidR="002B7677" w14:paraId="4065CDC6" w14:textId="77777777" w:rsidTr="009C1E9A">
      <w:trPr>
        <w:cantSplit/>
        <w:trHeight w:val="323"/>
      </w:trPr>
      <w:tc>
        <w:tcPr>
          <w:tcW w:w="0" w:type="pct"/>
          <w:gridSpan w:val="3"/>
        </w:tcPr>
        <w:p w14:paraId="46F3E9A9" w14:textId="13B0F466" w:rsidR="00EC379B" w:rsidRDefault="002431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C1178">
            <w:rPr>
              <w:rStyle w:val="PageNumber"/>
              <w:noProof/>
            </w:rPr>
            <w:t>2</w:t>
          </w:r>
          <w:r>
            <w:rPr>
              <w:rStyle w:val="PageNumber"/>
            </w:rPr>
            <w:fldChar w:fldCharType="end"/>
          </w:r>
        </w:p>
        <w:p w14:paraId="1657C679" w14:textId="77777777" w:rsidR="00EC379B" w:rsidRDefault="00EC379B" w:rsidP="009C1E9A">
          <w:pPr>
            <w:pStyle w:val="Footer"/>
            <w:tabs>
              <w:tab w:val="clear" w:pos="8640"/>
              <w:tab w:val="right" w:pos="9360"/>
            </w:tabs>
            <w:jc w:val="center"/>
          </w:pPr>
        </w:p>
      </w:tc>
    </w:tr>
  </w:tbl>
  <w:p w14:paraId="1C93F92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5D83" w14:textId="77777777" w:rsidR="004A0EE9" w:rsidRDefault="004A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6B9DD" w14:textId="77777777" w:rsidR="00000000" w:rsidRDefault="00243171">
      <w:r>
        <w:separator/>
      </w:r>
    </w:p>
  </w:footnote>
  <w:footnote w:type="continuationSeparator" w:id="0">
    <w:p w14:paraId="7C47B168" w14:textId="77777777" w:rsidR="00000000" w:rsidRDefault="0024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B4FC" w14:textId="77777777" w:rsidR="004A0EE9" w:rsidRDefault="004A0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44D3C" w14:textId="77777777" w:rsidR="004A0EE9" w:rsidRDefault="004A0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F8FED" w14:textId="77777777" w:rsidR="004A0EE9" w:rsidRDefault="004A0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147"/>
    <w:multiLevelType w:val="hybridMultilevel"/>
    <w:tmpl w:val="6D0840DE"/>
    <w:lvl w:ilvl="0" w:tplc="F0DA7A16">
      <w:start w:val="1"/>
      <w:numFmt w:val="bullet"/>
      <w:lvlText w:val=""/>
      <w:lvlJc w:val="left"/>
      <w:pPr>
        <w:tabs>
          <w:tab w:val="num" w:pos="720"/>
        </w:tabs>
        <w:ind w:left="720" w:hanging="360"/>
      </w:pPr>
      <w:rPr>
        <w:rFonts w:ascii="Symbol" w:hAnsi="Symbol" w:hint="default"/>
      </w:rPr>
    </w:lvl>
    <w:lvl w:ilvl="1" w:tplc="048271F4" w:tentative="1">
      <w:start w:val="1"/>
      <w:numFmt w:val="bullet"/>
      <w:lvlText w:val="o"/>
      <w:lvlJc w:val="left"/>
      <w:pPr>
        <w:ind w:left="1440" w:hanging="360"/>
      </w:pPr>
      <w:rPr>
        <w:rFonts w:ascii="Courier New" w:hAnsi="Courier New" w:cs="Courier New" w:hint="default"/>
      </w:rPr>
    </w:lvl>
    <w:lvl w:ilvl="2" w:tplc="05501C00" w:tentative="1">
      <w:start w:val="1"/>
      <w:numFmt w:val="bullet"/>
      <w:lvlText w:val=""/>
      <w:lvlJc w:val="left"/>
      <w:pPr>
        <w:ind w:left="2160" w:hanging="360"/>
      </w:pPr>
      <w:rPr>
        <w:rFonts w:ascii="Wingdings" w:hAnsi="Wingdings" w:hint="default"/>
      </w:rPr>
    </w:lvl>
    <w:lvl w:ilvl="3" w:tplc="7374A8F2" w:tentative="1">
      <w:start w:val="1"/>
      <w:numFmt w:val="bullet"/>
      <w:lvlText w:val=""/>
      <w:lvlJc w:val="left"/>
      <w:pPr>
        <w:ind w:left="2880" w:hanging="360"/>
      </w:pPr>
      <w:rPr>
        <w:rFonts w:ascii="Symbol" w:hAnsi="Symbol" w:hint="default"/>
      </w:rPr>
    </w:lvl>
    <w:lvl w:ilvl="4" w:tplc="CD827706" w:tentative="1">
      <w:start w:val="1"/>
      <w:numFmt w:val="bullet"/>
      <w:lvlText w:val="o"/>
      <w:lvlJc w:val="left"/>
      <w:pPr>
        <w:ind w:left="3600" w:hanging="360"/>
      </w:pPr>
      <w:rPr>
        <w:rFonts w:ascii="Courier New" w:hAnsi="Courier New" w:cs="Courier New" w:hint="default"/>
      </w:rPr>
    </w:lvl>
    <w:lvl w:ilvl="5" w:tplc="981601BE" w:tentative="1">
      <w:start w:val="1"/>
      <w:numFmt w:val="bullet"/>
      <w:lvlText w:val=""/>
      <w:lvlJc w:val="left"/>
      <w:pPr>
        <w:ind w:left="4320" w:hanging="360"/>
      </w:pPr>
      <w:rPr>
        <w:rFonts w:ascii="Wingdings" w:hAnsi="Wingdings" w:hint="default"/>
      </w:rPr>
    </w:lvl>
    <w:lvl w:ilvl="6" w:tplc="4EDCB4A0" w:tentative="1">
      <w:start w:val="1"/>
      <w:numFmt w:val="bullet"/>
      <w:lvlText w:val=""/>
      <w:lvlJc w:val="left"/>
      <w:pPr>
        <w:ind w:left="5040" w:hanging="360"/>
      </w:pPr>
      <w:rPr>
        <w:rFonts w:ascii="Symbol" w:hAnsi="Symbol" w:hint="default"/>
      </w:rPr>
    </w:lvl>
    <w:lvl w:ilvl="7" w:tplc="D2F0D3BC" w:tentative="1">
      <w:start w:val="1"/>
      <w:numFmt w:val="bullet"/>
      <w:lvlText w:val="o"/>
      <w:lvlJc w:val="left"/>
      <w:pPr>
        <w:ind w:left="5760" w:hanging="360"/>
      </w:pPr>
      <w:rPr>
        <w:rFonts w:ascii="Courier New" w:hAnsi="Courier New" w:cs="Courier New" w:hint="default"/>
      </w:rPr>
    </w:lvl>
    <w:lvl w:ilvl="8" w:tplc="920EC944" w:tentative="1">
      <w:start w:val="1"/>
      <w:numFmt w:val="bullet"/>
      <w:lvlText w:val=""/>
      <w:lvlJc w:val="left"/>
      <w:pPr>
        <w:ind w:left="6480" w:hanging="360"/>
      </w:pPr>
      <w:rPr>
        <w:rFonts w:ascii="Wingdings" w:hAnsi="Wingdings" w:hint="default"/>
      </w:rPr>
    </w:lvl>
  </w:abstractNum>
  <w:abstractNum w:abstractNumId="1" w15:restartNumberingAfterBreak="0">
    <w:nsid w:val="0CDD2EB8"/>
    <w:multiLevelType w:val="hybridMultilevel"/>
    <w:tmpl w:val="1056034C"/>
    <w:lvl w:ilvl="0" w:tplc="C73CC33E">
      <w:start w:val="1"/>
      <w:numFmt w:val="bullet"/>
      <w:lvlText w:val=""/>
      <w:lvlJc w:val="left"/>
      <w:pPr>
        <w:tabs>
          <w:tab w:val="num" w:pos="720"/>
        </w:tabs>
        <w:ind w:left="720" w:hanging="360"/>
      </w:pPr>
      <w:rPr>
        <w:rFonts w:ascii="Symbol" w:hAnsi="Symbol" w:hint="default"/>
      </w:rPr>
    </w:lvl>
    <w:lvl w:ilvl="1" w:tplc="CB32E6CA" w:tentative="1">
      <w:start w:val="1"/>
      <w:numFmt w:val="bullet"/>
      <w:lvlText w:val="o"/>
      <w:lvlJc w:val="left"/>
      <w:pPr>
        <w:ind w:left="1440" w:hanging="360"/>
      </w:pPr>
      <w:rPr>
        <w:rFonts w:ascii="Courier New" w:hAnsi="Courier New" w:cs="Courier New" w:hint="default"/>
      </w:rPr>
    </w:lvl>
    <w:lvl w:ilvl="2" w:tplc="7BD05D3E" w:tentative="1">
      <w:start w:val="1"/>
      <w:numFmt w:val="bullet"/>
      <w:lvlText w:val=""/>
      <w:lvlJc w:val="left"/>
      <w:pPr>
        <w:ind w:left="2160" w:hanging="360"/>
      </w:pPr>
      <w:rPr>
        <w:rFonts w:ascii="Wingdings" w:hAnsi="Wingdings" w:hint="default"/>
      </w:rPr>
    </w:lvl>
    <w:lvl w:ilvl="3" w:tplc="73CCB258" w:tentative="1">
      <w:start w:val="1"/>
      <w:numFmt w:val="bullet"/>
      <w:lvlText w:val=""/>
      <w:lvlJc w:val="left"/>
      <w:pPr>
        <w:ind w:left="2880" w:hanging="360"/>
      </w:pPr>
      <w:rPr>
        <w:rFonts w:ascii="Symbol" w:hAnsi="Symbol" w:hint="default"/>
      </w:rPr>
    </w:lvl>
    <w:lvl w:ilvl="4" w:tplc="850A4E20" w:tentative="1">
      <w:start w:val="1"/>
      <w:numFmt w:val="bullet"/>
      <w:lvlText w:val="o"/>
      <w:lvlJc w:val="left"/>
      <w:pPr>
        <w:ind w:left="3600" w:hanging="360"/>
      </w:pPr>
      <w:rPr>
        <w:rFonts w:ascii="Courier New" w:hAnsi="Courier New" w:cs="Courier New" w:hint="default"/>
      </w:rPr>
    </w:lvl>
    <w:lvl w:ilvl="5" w:tplc="93906118" w:tentative="1">
      <w:start w:val="1"/>
      <w:numFmt w:val="bullet"/>
      <w:lvlText w:val=""/>
      <w:lvlJc w:val="left"/>
      <w:pPr>
        <w:ind w:left="4320" w:hanging="360"/>
      </w:pPr>
      <w:rPr>
        <w:rFonts w:ascii="Wingdings" w:hAnsi="Wingdings" w:hint="default"/>
      </w:rPr>
    </w:lvl>
    <w:lvl w:ilvl="6" w:tplc="6D06FC60" w:tentative="1">
      <w:start w:val="1"/>
      <w:numFmt w:val="bullet"/>
      <w:lvlText w:val=""/>
      <w:lvlJc w:val="left"/>
      <w:pPr>
        <w:ind w:left="5040" w:hanging="360"/>
      </w:pPr>
      <w:rPr>
        <w:rFonts w:ascii="Symbol" w:hAnsi="Symbol" w:hint="default"/>
      </w:rPr>
    </w:lvl>
    <w:lvl w:ilvl="7" w:tplc="75E440B0" w:tentative="1">
      <w:start w:val="1"/>
      <w:numFmt w:val="bullet"/>
      <w:lvlText w:val="o"/>
      <w:lvlJc w:val="left"/>
      <w:pPr>
        <w:ind w:left="5760" w:hanging="360"/>
      </w:pPr>
      <w:rPr>
        <w:rFonts w:ascii="Courier New" w:hAnsi="Courier New" w:cs="Courier New" w:hint="default"/>
      </w:rPr>
    </w:lvl>
    <w:lvl w:ilvl="8" w:tplc="20B40FA0" w:tentative="1">
      <w:start w:val="1"/>
      <w:numFmt w:val="bullet"/>
      <w:lvlText w:val=""/>
      <w:lvlJc w:val="left"/>
      <w:pPr>
        <w:ind w:left="6480" w:hanging="360"/>
      </w:pPr>
      <w:rPr>
        <w:rFonts w:ascii="Wingdings" w:hAnsi="Wingdings" w:hint="default"/>
      </w:rPr>
    </w:lvl>
  </w:abstractNum>
  <w:abstractNum w:abstractNumId="2" w15:restartNumberingAfterBreak="0">
    <w:nsid w:val="4F9C53C4"/>
    <w:multiLevelType w:val="hybridMultilevel"/>
    <w:tmpl w:val="A314B562"/>
    <w:lvl w:ilvl="0" w:tplc="77067FE4">
      <w:start w:val="1"/>
      <w:numFmt w:val="bullet"/>
      <w:lvlText w:val=""/>
      <w:lvlJc w:val="left"/>
      <w:pPr>
        <w:tabs>
          <w:tab w:val="num" w:pos="720"/>
        </w:tabs>
        <w:ind w:left="720" w:hanging="360"/>
      </w:pPr>
      <w:rPr>
        <w:rFonts w:ascii="Symbol" w:hAnsi="Symbol" w:hint="default"/>
      </w:rPr>
    </w:lvl>
    <w:lvl w:ilvl="1" w:tplc="C836671C" w:tentative="1">
      <w:start w:val="1"/>
      <w:numFmt w:val="bullet"/>
      <w:lvlText w:val="o"/>
      <w:lvlJc w:val="left"/>
      <w:pPr>
        <w:ind w:left="1440" w:hanging="360"/>
      </w:pPr>
      <w:rPr>
        <w:rFonts w:ascii="Courier New" w:hAnsi="Courier New" w:cs="Courier New" w:hint="default"/>
      </w:rPr>
    </w:lvl>
    <w:lvl w:ilvl="2" w:tplc="28A80F46" w:tentative="1">
      <w:start w:val="1"/>
      <w:numFmt w:val="bullet"/>
      <w:lvlText w:val=""/>
      <w:lvlJc w:val="left"/>
      <w:pPr>
        <w:ind w:left="2160" w:hanging="360"/>
      </w:pPr>
      <w:rPr>
        <w:rFonts w:ascii="Wingdings" w:hAnsi="Wingdings" w:hint="default"/>
      </w:rPr>
    </w:lvl>
    <w:lvl w:ilvl="3" w:tplc="44FC01EA" w:tentative="1">
      <w:start w:val="1"/>
      <w:numFmt w:val="bullet"/>
      <w:lvlText w:val=""/>
      <w:lvlJc w:val="left"/>
      <w:pPr>
        <w:ind w:left="2880" w:hanging="360"/>
      </w:pPr>
      <w:rPr>
        <w:rFonts w:ascii="Symbol" w:hAnsi="Symbol" w:hint="default"/>
      </w:rPr>
    </w:lvl>
    <w:lvl w:ilvl="4" w:tplc="CD56037E" w:tentative="1">
      <w:start w:val="1"/>
      <w:numFmt w:val="bullet"/>
      <w:lvlText w:val="o"/>
      <w:lvlJc w:val="left"/>
      <w:pPr>
        <w:ind w:left="3600" w:hanging="360"/>
      </w:pPr>
      <w:rPr>
        <w:rFonts w:ascii="Courier New" w:hAnsi="Courier New" w:cs="Courier New" w:hint="default"/>
      </w:rPr>
    </w:lvl>
    <w:lvl w:ilvl="5" w:tplc="547C69B8" w:tentative="1">
      <w:start w:val="1"/>
      <w:numFmt w:val="bullet"/>
      <w:lvlText w:val=""/>
      <w:lvlJc w:val="left"/>
      <w:pPr>
        <w:ind w:left="4320" w:hanging="360"/>
      </w:pPr>
      <w:rPr>
        <w:rFonts w:ascii="Wingdings" w:hAnsi="Wingdings" w:hint="default"/>
      </w:rPr>
    </w:lvl>
    <w:lvl w:ilvl="6" w:tplc="49E66E0A" w:tentative="1">
      <w:start w:val="1"/>
      <w:numFmt w:val="bullet"/>
      <w:lvlText w:val=""/>
      <w:lvlJc w:val="left"/>
      <w:pPr>
        <w:ind w:left="5040" w:hanging="360"/>
      </w:pPr>
      <w:rPr>
        <w:rFonts w:ascii="Symbol" w:hAnsi="Symbol" w:hint="default"/>
      </w:rPr>
    </w:lvl>
    <w:lvl w:ilvl="7" w:tplc="EA08BB40" w:tentative="1">
      <w:start w:val="1"/>
      <w:numFmt w:val="bullet"/>
      <w:lvlText w:val="o"/>
      <w:lvlJc w:val="left"/>
      <w:pPr>
        <w:ind w:left="5760" w:hanging="360"/>
      </w:pPr>
      <w:rPr>
        <w:rFonts w:ascii="Courier New" w:hAnsi="Courier New" w:cs="Courier New" w:hint="default"/>
      </w:rPr>
    </w:lvl>
    <w:lvl w:ilvl="8" w:tplc="06DA180C" w:tentative="1">
      <w:start w:val="1"/>
      <w:numFmt w:val="bullet"/>
      <w:lvlText w:val=""/>
      <w:lvlJc w:val="left"/>
      <w:pPr>
        <w:ind w:left="6480" w:hanging="360"/>
      </w:pPr>
      <w:rPr>
        <w:rFonts w:ascii="Wingdings" w:hAnsi="Wingdings" w:hint="default"/>
      </w:rPr>
    </w:lvl>
  </w:abstractNum>
  <w:abstractNum w:abstractNumId="3" w15:restartNumberingAfterBreak="0">
    <w:nsid w:val="743150A5"/>
    <w:multiLevelType w:val="hybridMultilevel"/>
    <w:tmpl w:val="0B9CD214"/>
    <w:lvl w:ilvl="0" w:tplc="91CCEC50">
      <w:start w:val="1"/>
      <w:numFmt w:val="bullet"/>
      <w:lvlText w:val=""/>
      <w:lvlJc w:val="left"/>
      <w:pPr>
        <w:tabs>
          <w:tab w:val="num" w:pos="720"/>
        </w:tabs>
        <w:ind w:left="720" w:hanging="360"/>
      </w:pPr>
      <w:rPr>
        <w:rFonts w:ascii="Symbol" w:hAnsi="Symbol" w:hint="default"/>
      </w:rPr>
    </w:lvl>
    <w:lvl w:ilvl="1" w:tplc="702E1A5C" w:tentative="1">
      <w:start w:val="1"/>
      <w:numFmt w:val="bullet"/>
      <w:lvlText w:val="o"/>
      <w:lvlJc w:val="left"/>
      <w:pPr>
        <w:ind w:left="1440" w:hanging="360"/>
      </w:pPr>
      <w:rPr>
        <w:rFonts w:ascii="Courier New" w:hAnsi="Courier New" w:cs="Courier New" w:hint="default"/>
      </w:rPr>
    </w:lvl>
    <w:lvl w:ilvl="2" w:tplc="BD3C55C0" w:tentative="1">
      <w:start w:val="1"/>
      <w:numFmt w:val="bullet"/>
      <w:lvlText w:val=""/>
      <w:lvlJc w:val="left"/>
      <w:pPr>
        <w:ind w:left="2160" w:hanging="360"/>
      </w:pPr>
      <w:rPr>
        <w:rFonts w:ascii="Wingdings" w:hAnsi="Wingdings" w:hint="default"/>
      </w:rPr>
    </w:lvl>
    <w:lvl w:ilvl="3" w:tplc="0E9CD8A6" w:tentative="1">
      <w:start w:val="1"/>
      <w:numFmt w:val="bullet"/>
      <w:lvlText w:val=""/>
      <w:lvlJc w:val="left"/>
      <w:pPr>
        <w:ind w:left="2880" w:hanging="360"/>
      </w:pPr>
      <w:rPr>
        <w:rFonts w:ascii="Symbol" w:hAnsi="Symbol" w:hint="default"/>
      </w:rPr>
    </w:lvl>
    <w:lvl w:ilvl="4" w:tplc="D26C0706" w:tentative="1">
      <w:start w:val="1"/>
      <w:numFmt w:val="bullet"/>
      <w:lvlText w:val="o"/>
      <w:lvlJc w:val="left"/>
      <w:pPr>
        <w:ind w:left="3600" w:hanging="360"/>
      </w:pPr>
      <w:rPr>
        <w:rFonts w:ascii="Courier New" w:hAnsi="Courier New" w:cs="Courier New" w:hint="default"/>
      </w:rPr>
    </w:lvl>
    <w:lvl w:ilvl="5" w:tplc="F3FEF24E" w:tentative="1">
      <w:start w:val="1"/>
      <w:numFmt w:val="bullet"/>
      <w:lvlText w:val=""/>
      <w:lvlJc w:val="left"/>
      <w:pPr>
        <w:ind w:left="4320" w:hanging="360"/>
      </w:pPr>
      <w:rPr>
        <w:rFonts w:ascii="Wingdings" w:hAnsi="Wingdings" w:hint="default"/>
      </w:rPr>
    </w:lvl>
    <w:lvl w:ilvl="6" w:tplc="3D52E4BE" w:tentative="1">
      <w:start w:val="1"/>
      <w:numFmt w:val="bullet"/>
      <w:lvlText w:val=""/>
      <w:lvlJc w:val="left"/>
      <w:pPr>
        <w:ind w:left="5040" w:hanging="360"/>
      </w:pPr>
      <w:rPr>
        <w:rFonts w:ascii="Symbol" w:hAnsi="Symbol" w:hint="default"/>
      </w:rPr>
    </w:lvl>
    <w:lvl w:ilvl="7" w:tplc="E8628C6E" w:tentative="1">
      <w:start w:val="1"/>
      <w:numFmt w:val="bullet"/>
      <w:lvlText w:val="o"/>
      <w:lvlJc w:val="left"/>
      <w:pPr>
        <w:ind w:left="5760" w:hanging="360"/>
      </w:pPr>
      <w:rPr>
        <w:rFonts w:ascii="Courier New" w:hAnsi="Courier New" w:cs="Courier New" w:hint="default"/>
      </w:rPr>
    </w:lvl>
    <w:lvl w:ilvl="8" w:tplc="EC8A038C"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C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6464"/>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07E4"/>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7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677"/>
    <w:rsid w:val="002B7BA7"/>
    <w:rsid w:val="002C1C17"/>
    <w:rsid w:val="002C3203"/>
    <w:rsid w:val="002C3B07"/>
    <w:rsid w:val="002C532B"/>
    <w:rsid w:val="002C5713"/>
    <w:rsid w:val="002D05CC"/>
    <w:rsid w:val="002D305A"/>
    <w:rsid w:val="002E21B8"/>
    <w:rsid w:val="002E7DF9"/>
    <w:rsid w:val="002F097B"/>
    <w:rsid w:val="002F3111"/>
    <w:rsid w:val="002F4369"/>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0DC0"/>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0EE9"/>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54B"/>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064"/>
    <w:rsid w:val="00607E64"/>
    <w:rsid w:val="006106E9"/>
    <w:rsid w:val="0061159E"/>
    <w:rsid w:val="00614633"/>
    <w:rsid w:val="00614BC8"/>
    <w:rsid w:val="006151FB"/>
    <w:rsid w:val="00617411"/>
    <w:rsid w:val="006249CB"/>
    <w:rsid w:val="00625EF0"/>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6BB9"/>
    <w:rsid w:val="00717739"/>
    <w:rsid w:val="00717DE4"/>
    <w:rsid w:val="00721724"/>
    <w:rsid w:val="00722EC5"/>
    <w:rsid w:val="00723326"/>
    <w:rsid w:val="00724252"/>
    <w:rsid w:val="00727B60"/>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6390"/>
    <w:rsid w:val="007A7713"/>
    <w:rsid w:val="007A7EC1"/>
    <w:rsid w:val="007B25C4"/>
    <w:rsid w:val="007B4FCA"/>
    <w:rsid w:val="007B7B85"/>
    <w:rsid w:val="007C462E"/>
    <w:rsid w:val="007C496B"/>
    <w:rsid w:val="007C6803"/>
    <w:rsid w:val="007D2892"/>
    <w:rsid w:val="007D2DCC"/>
    <w:rsid w:val="007D3312"/>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1F5A"/>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8C4"/>
    <w:rsid w:val="008F09DF"/>
    <w:rsid w:val="008F3053"/>
    <w:rsid w:val="008F3136"/>
    <w:rsid w:val="008F40DF"/>
    <w:rsid w:val="008F5E16"/>
    <w:rsid w:val="008F5EFC"/>
    <w:rsid w:val="00901670"/>
    <w:rsid w:val="00902212"/>
    <w:rsid w:val="00903E0A"/>
    <w:rsid w:val="00904721"/>
    <w:rsid w:val="009069B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15AB"/>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C72"/>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695"/>
    <w:rsid w:val="009C5A1D"/>
    <w:rsid w:val="009C6B08"/>
    <w:rsid w:val="009C70FC"/>
    <w:rsid w:val="009D002B"/>
    <w:rsid w:val="009D37C7"/>
    <w:rsid w:val="009D4BBD"/>
    <w:rsid w:val="009D5A41"/>
    <w:rsid w:val="009E13BF"/>
    <w:rsid w:val="009E3631"/>
    <w:rsid w:val="009E3A67"/>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6E34"/>
    <w:rsid w:val="00A07689"/>
    <w:rsid w:val="00A07906"/>
    <w:rsid w:val="00A10908"/>
    <w:rsid w:val="00A12330"/>
    <w:rsid w:val="00A1259F"/>
    <w:rsid w:val="00A1446F"/>
    <w:rsid w:val="00A151B5"/>
    <w:rsid w:val="00A220FF"/>
    <w:rsid w:val="00A227E0"/>
    <w:rsid w:val="00A232E4"/>
    <w:rsid w:val="00A23CA3"/>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1178"/>
    <w:rsid w:val="00BC198A"/>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4A0"/>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2D82"/>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0B52"/>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3676"/>
    <w:rsid w:val="00DB53C6"/>
    <w:rsid w:val="00DB59E3"/>
    <w:rsid w:val="00DB6CB6"/>
    <w:rsid w:val="00DB758F"/>
    <w:rsid w:val="00DC1F1B"/>
    <w:rsid w:val="00DC3D8F"/>
    <w:rsid w:val="00DC42E8"/>
    <w:rsid w:val="00DC6C8F"/>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065"/>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03C6"/>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4BF9"/>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3C3E9-AF45-4346-BB13-C08CA40E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80DC0"/>
    <w:rPr>
      <w:sz w:val="16"/>
      <w:szCs w:val="16"/>
    </w:rPr>
  </w:style>
  <w:style w:type="paragraph" w:styleId="CommentText">
    <w:name w:val="annotation text"/>
    <w:basedOn w:val="Normal"/>
    <w:link w:val="CommentTextChar"/>
    <w:semiHidden/>
    <w:unhideWhenUsed/>
    <w:rsid w:val="00380DC0"/>
    <w:rPr>
      <w:sz w:val="20"/>
      <w:szCs w:val="20"/>
    </w:rPr>
  </w:style>
  <w:style w:type="character" w:customStyle="1" w:styleId="CommentTextChar">
    <w:name w:val="Comment Text Char"/>
    <w:basedOn w:val="DefaultParagraphFont"/>
    <w:link w:val="CommentText"/>
    <w:semiHidden/>
    <w:rsid w:val="00380DC0"/>
  </w:style>
  <w:style w:type="paragraph" w:styleId="CommentSubject">
    <w:name w:val="annotation subject"/>
    <w:basedOn w:val="CommentText"/>
    <w:next w:val="CommentText"/>
    <w:link w:val="CommentSubjectChar"/>
    <w:semiHidden/>
    <w:unhideWhenUsed/>
    <w:rsid w:val="00380DC0"/>
    <w:rPr>
      <w:b/>
      <w:bCs/>
    </w:rPr>
  </w:style>
  <w:style w:type="character" w:customStyle="1" w:styleId="CommentSubjectChar">
    <w:name w:val="Comment Subject Char"/>
    <w:basedOn w:val="CommentTextChar"/>
    <w:link w:val="CommentSubject"/>
    <w:semiHidden/>
    <w:rsid w:val="00380DC0"/>
    <w:rPr>
      <w:b/>
      <w:bCs/>
    </w:rPr>
  </w:style>
  <w:style w:type="paragraph" w:styleId="Revision">
    <w:name w:val="Revision"/>
    <w:hidden/>
    <w:uiPriority w:val="99"/>
    <w:semiHidden/>
    <w:rsid w:val="00380DC0"/>
    <w:rPr>
      <w:sz w:val="24"/>
      <w:szCs w:val="24"/>
    </w:rPr>
  </w:style>
  <w:style w:type="paragraph" w:styleId="ListParagraph">
    <w:name w:val="List Paragraph"/>
    <w:basedOn w:val="Normal"/>
    <w:uiPriority w:val="34"/>
    <w:qFormat/>
    <w:rsid w:val="008F08C4"/>
    <w:pPr>
      <w:ind w:left="720"/>
      <w:contextualSpacing/>
    </w:pPr>
  </w:style>
  <w:style w:type="character" w:styleId="Hyperlink">
    <w:name w:val="Hyperlink"/>
    <w:basedOn w:val="DefaultParagraphFont"/>
    <w:unhideWhenUsed/>
    <w:rsid w:val="00625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4731</Characters>
  <Application>Microsoft Office Word</Application>
  <DocSecurity>4</DocSecurity>
  <Lines>102</Lines>
  <Paragraphs>34</Paragraphs>
  <ScaleCrop>false</ScaleCrop>
  <HeadingPairs>
    <vt:vector size="2" baseType="variant">
      <vt:variant>
        <vt:lpstr>Title</vt:lpstr>
      </vt:variant>
      <vt:variant>
        <vt:i4>1</vt:i4>
      </vt:variant>
    </vt:vector>
  </HeadingPairs>
  <TitlesOfParts>
    <vt:vector size="1" baseType="lpstr">
      <vt:lpstr>BA - HB03742 (Committee Report (Substituted))</vt:lpstr>
    </vt:vector>
  </TitlesOfParts>
  <Company>State of Texas</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24212</dc:subject>
  <dc:creator>State of Texas</dc:creator>
  <dc:description>HB 3742 by Capriglione-(H)Insurance (Substitute Document Number: 87R 23046)</dc:description>
  <cp:lastModifiedBy>Stacey Nicchio</cp:lastModifiedBy>
  <cp:revision>2</cp:revision>
  <cp:lastPrinted>2003-11-26T17:21:00Z</cp:lastPrinted>
  <dcterms:created xsi:type="dcterms:W3CDTF">2021-05-04T00:04:00Z</dcterms:created>
  <dcterms:modified xsi:type="dcterms:W3CDTF">2021-05-04T00:04:00Z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21.123.1159</vt:lpwstr>
  </property>
</Properties>
</file>