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35538" w14:paraId="4AB973BF" w14:textId="77777777" w:rsidTr="00345119">
        <w:tc>
          <w:tcPr>
            <w:tcW w:w="9576" w:type="dxa"/>
            <w:noWrap/>
          </w:tcPr>
          <w:p w14:paraId="05B9FA06" w14:textId="77777777" w:rsidR="008423E4" w:rsidRPr="0022177D" w:rsidRDefault="00A519A7" w:rsidP="003817E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9A4FBC" w14:textId="77777777" w:rsidR="008423E4" w:rsidRPr="0022177D" w:rsidRDefault="008423E4" w:rsidP="003817EC">
      <w:pPr>
        <w:jc w:val="center"/>
      </w:pPr>
    </w:p>
    <w:p w14:paraId="05F1C7FA" w14:textId="77777777" w:rsidR="008423E4" w:rsidRPr="00B31F0E" w:rsidRDefault="008423E4" w:rsidP="003817EC"/>
    <w:p w14:paraId="27916BC8" w14:textId="77777777" w:rsidR="008423E4" w:rsidRPr="00742794" w:rsidRDefault="008423E4" w:rsidP="003817E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5538" w14:paraId="1568396F" w14:textId="77777777" w:rsidTr="00345119">
        <w:tc>
          <w:tcPr>
            <w:tcW w:w="9576" w:type="dxa"/>
          </w:tcPr>
          <w:p w14:paraId="10E0A6B5" w14:textId="75884D5A" w:rsidR="008423E4" w:rsidRPr="00861995" w:rsidRDefault="00A519A7" w:rsidP="003817EC">
            <w:pPr>
              <w:jc w:val="right"/>
            </w:pPr>
            <w:r>
              <w:t>C.S.H.B. 3745</w:t>
            </w:r>
          </w:p>
        </w:tc>
      </w:tr>
      <w:tr w:rsidR="00635538" w14:paraId="19FBCDE3" w14:textId="77777777" w:rsidTr="00345119">
        <w:tc>
          <w:tcPr>
            <w:tcW w:w="9576" w:type="dxa"/>
          </w:tcPr>
          <w:p w14:paraId="5A701C55" w14:textId="6946043E" w:rsidR="008423E4" w:rsidRPr="00861995" w:rsidRDefault="00A519A7" w:rsidP="003817EC">
            <w:pPr>
              <w:jc w:val="right"/>
            </w:pPr>
            <w:r>
              <w:t xml:space="preserve">By: </w:t>
            </w:r>
            <w:r w:rsidR="009B27DB">
              <w:t>Capriglione</w:t>
            </w:r>
          </w:p>
        </w:tc>
      </w:tr>
      <w:tr w:rsidR="00635538" w14:paraId="2985E90E" w14:textId="77777777" w:rsidTr="00345119">
        <w:tc>
          <w:tcPr>
            <w:tcW w:w="9576" w:type="dxa"/>
          </w:tcPr>
          <w:p w14:paraId="6C162B3E" w14:textId="625D7A4F" w:rsidR="008423E4" w:rsidRPr="00861995" w:rsidRDefault="00A519A7" w:rsidP="003817EC">
            <w:pPr>
              <w:jc w:val="right"/>
            </w:pPr>
            <w:r>
              <w:t>Business &amp; Industry</w:t>
            </w:r>
          </w:p>
        </w:tc>
      </w:tr>
      <w:tr w:rsidR="00635538" w14:paraId="70D968A3" w14:textId="77777777" w:rsidTr="00345119">
        <w:tc>
          <w:tcPr>
            <w:tcW w:w="9576" w:type="dxa"/>
          </w:tcPr>
          <w:p w14:paraId="114A778F" w14:textId="216A1AEF" w:rsidR="008423E4" w:rsidRDefault="00A519A7" w:rsidP="003817EC">
            <w:pPr>
              <w:jc w:val="right"/>
            </w:pPr>
            <w:r>
              <w:t>Committee Report (Substituted)</w:t>
            </w:r>
          </w:p>
        </w:tc>
      </w:tr>
    </w:tbl>
    <w:p w14:paraId="5F901E30" w14:textId="77777777" w:rsidR="008423E4" w:rsidRDefault="008423E4" w:rsidP="003817EC">
      <w:pPr>
        <w:tabs>
          <w:tab w:val="right" w:pos="9360"/>
        </w:tabs>
      </w:pPr>
    </w:p>
    <w:p w14:paraId="36E303B6" w14:textId="77777777" w:rsidR="008423E4" w:rsidRDefault="008423E4" w:rsidP="003817EC"/>
    <w:p w14:paraId="3E1222A7" w14:textId="77777777" w:rsidR="008423E4" w:rsidRDefault="008423E4" w:rsidP="003817E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35538" w14:paraId="1FD9EE2E" w14:textId="77777777" w:rsidTr="00345119">
        <w:tc>
          <w:tcPr>
            <w:tcW w:w="9576" w:type="dxa"/>
          </w:tcPr>
          <w:p w14:paraId="58C829B9" w14:textId="77777777" w:rsidR="008423E4" w:rsidRPr="00A8133F" w:rsidRDefault="00A519A7" w:rsidP="003817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F57BDF" w14:textId="77777777" w:rsidR="008423E4" w:rsidRDefault="008423E4" w:rsidP="003817EC"/>
          <w:p w14:paraId="119DCF70" w14:textId="0D4A3BC7" w:rsidR="008423E4" w:rsidRDefault="00A519A7" w:rsidP="00381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increasing use of</w:t>
            </w:r>
            <w:r w:rsidR="00C43C36" w:rsidRPr="00C43C36">
              <w:t xml:space="preserve"> </w:t>
            </w:r>
            <w:r>
              <w:t>"</w:t>
            </w:r>
            <w:r w:rsidR="00C43C36" w:rsidRPr="00C43C36">
              <w:t>bots</w:t>
            </w:r>
            <w:r>
              <w:t>"</w:t>
            </w:r>
            <w:r w:rsidR="00C43C36" w:rsidRPr="00C43C36">
              <w:t xml:space="preserve"> to scoop up </w:t>
            </w:r>
            <w:r>
              <w:t>elusive</w:t>
            </w:r>
            <w:r w:rsidR="00C43C36" w:rsidRPr="00C43C36">
              <w:t xml:space="preserve"> products</w:t>
            </w:r>
            <w:r>
              <w:t xml:space="preserve"> sold online,</w:t>
            </w:r>
            <w:r w:rsidR="00C43C36" w:rsidRPr="00C43C36">
              <w:t xml:space="preserve"> such as </w:t>
            </w:r>
            <w:r>
              <w:t xml:space="preserve">newly released </w:t>
            </w:r>
            <w:r w:rsidR="00C43C36" w:rsidRPr="00C43C36">
              <w:t xml:space="preserve">gaming systems or </w:t>
            </w:r>
            <w:r>
              <w:t xml:space="preserve">limited edition </w:t>
            </w:r>
            <w:r w:rsidR="00C43C36" w:rsidRPr="00C43C36">
              <w:t>shoes</w:t>
            </w:r>
            <w:r>
              <w:t>, the very second</w:t>
            </w:r>
            <w:r w:rsidR="00C43C36" w:rsidRPr="00C43C36">
              <w:t xml:space="preserve"> the</w:t>
            </w:r>
            <w:r>
              <w:t xml:space="preserve"> items</w:t>
            </w:r>
            <w:r w:rsidR="00C43C36" w:rsidRPr="00C43C36">
              <w:t xml:space="preserve"> go on sale</w:t>
            </w:r>
            <w:r w:rsidR="001C2B09">
              <w:t xml:space="preserve"> to the public</w:t>
            </w:r>
            <w:r w:rsidR="00C43C36" w:rsidRPr="00C43C36">
              <w:t xml:space="preserve">. </w:t>
            </w:r>
            <w:r>
              <w:t xml:space="preserve">It has been suggested that the resale of these items back to those </w:t>
            </w:r>
            <w:r w:rsidR="001C2B09">
              <w:t>genuinely</w:t>
            </w:r>
            <w:r>
              <w:t xml:space="preserve"> interested in the items for themselves, which often happens at an </w:t>
            </w:r>
            <w:r w:rsidR="001C2B09">
              <w:t xml:space="preserve">exorbitant </w:t>
            </w:r>
            <w:r>
              <w:t xml:space="preserve">markup, nets </w:t>
            </w:r>
            <w:r w:rsidR="001C2B09">
              <w:t>an untold amount of</w:t>
            </w:r>
            <w:r w:rsidR="00C43C36" w:rsidRPr="00C43C36">
              <w:t xml:space="preserve"> revenue </w:t>
            </w:r>
            <w:r>
              <w:t>to the people employing the use of bots.</w:t>
            </w:r>
            <w:r w:rsidR="00C43C36">
              <w:t xml:space="preserve"> </w:t>
            </w:r>
            <w:r>
              <w:t>C.S.H.</w:t>
            </w:r>
            <w:r w:rsidR="00C43C36" w:rsidRPr="00C43C36">
              <w:t>B</w:t>
            </w:r>
            <w:r>
              <w:t>.</w:t>
            </w:r>
            <w:r w:rsidR="00217AE6">
              <w:t> </w:t>
            </w:r>
            <w:r w:rsidR="00C43C36" w:rsidRPr="00C43C36">
              <w:t xml:space="preserve">3745 </w:t>
            </w:r>
            <w:r>
              <w:t xml:space="preserve">seeks to address this issue by </w:t>
            </w:r>
            <w:r w:rsidR="00C43C36" w:rsidRPr="00C43C36">
              <w:t>prohibit</w:t>
            </w:r>
            <w:r>
              <w:t>ing</w:t>
            </w:r>
            <w:r w:rsidR="00806903">
              <w:t xml:space="preserve"> this type of practice in connection with the online sale of goods, including</w:t>
            </w:r>
            <w:r>
              <w:t xml:space="preserve"> the use of certain</w:t>
            </w:r>
            <w:r w:rsidR="00C43C36" w:rsidRPr="00C43C36">
              <w:t xml:space="preserve"> technology</w:t>
            </w:r>
            <w:r>
              <w:t xml:space="preserve"> and</w:t>
            </w:r>
            <w:r w:rsidR="00C43C36" w:rsidRPr="00C43C36">
              <w:t xml:space="preserve"> software </w:t>
            </w:r>
            <w:r w:rsidR="001C2B09">
              <w:t>during</w:t>
            </w:r>
            <w:r w:rsidR="001C2B09" w:rsidRPr="00C43C36">
              <w:t xml:space="preserve"> </w:t>
            </w:r>
            <w:r w:rsidR="00C43C36" w:rsidRPr="00C43C36">
              <w:t xml:space="preserve">the sale of consumer goods </w:t>
            </w:r>
            <w:r w:rsidR="001C2B09">
              <w:t>from</w:t>
            </w:r>
            <w:r w:rsidR="00C43C36" w:rsidRPr="00C43C36">
              <w:t xml:space="preserve"> website</w:t>
            </w:r>
            <w:r w:rsidR="001C2B09">
              <w:t>s</w:t>
            </w:r>
            <w:r w:rsidR="00C43C36" w:rsidRPr="00C43C36">
              <w:t xml:space="preserve"> that functions as a bypass in the purchasing process.</w:t>
            </w:r>
          </w:p>
          <w:p w14:paraId="6E2BC2B8" w14:textId="77777777" w:rsidR="008423E4" w:rsidRPr="00E26B13" w:rsidRDefault="008423E4" w:rsidP="003817EC">
            <w:pPr>
              <w:rPr>
                <w:b/>
              </w:rPr>
            </w:pPr>
          </w:p>
        </w:tc>
      </w:tr>
      <w:tr w:rsidR="00635538" w14:paraId="68040307" w14:textId="77777777" w:rsidTr="00345119">
        <w:tc>
          <w:tcPr>
            <w:tcW w:w="9576" w:type="dxa"/>
          </w:tcPr>
          <w:p w14:paraId="06930C64" w14:textId="77777777" w:rsidR="0017725B" w:rsidRDefault="00A519A7" w:rsidP="003817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4F1C36" w14:textId="77777777" w:rsidR="0017725B" w:rsidRDefault="0017725B" w:rsidP="003817EC">
            <w:pPr>
              <w:rPr>
                <w:b/>
                <w:u w:val="single"/>
              </w:rPr>
            </w:pPr>
          </w:p>
          <w:p w14:paraId="3FFA3330" w14:textId="77777777" w:rsidR="002A2E65" w:rsidRPr="002A2E65" w:rsidRDefault="00A519A7" w:rsidP="003817EC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14:paraId="7C8A7DAB" w14:textId="77777777" w:rsidR="0017725B" w:rsidRPr="0017725B" w:rsidRDefault="0017725B" w:rsidP="003817EC">
            <w:pPr>
              <w:rPr>
                <w:b/>
                <w:u w:val="single"/>
              </w:rPr>
            </w:pPr>
          </w:p>
        </w:tc>
      </w:tr>
      <w:tr w:rsidR="00635538" w14:paraId="2AFB4201" w14:textId="77777777" w:rsidTr="00345119">
        <w:tc>
          <w:tcPr>
            <w:tcW w:w="9576" w:type="dxa"/>
          </w:tcPr>
          <w:p w14:paraId="7CF511C2" w14:textId="77777777" w:rsidR="008423E4" w:rsidRPr="00A8133F" w:rsidRDefault="00A519A7" w:rsidP="003817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B74718" w14:textId="77777777" w:rsidR="008423E4" w:rsidRDefault="008423E4" w:rsidP="003817EC"/>
          <w:p w14:paraId="722F5B3A" w14:textId="77777777" w:rsidR="002A2E65" w:rsidRDefault="00A519A7" w:rsidP="00381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</w:t>
            </w:r>
            <w:r>
              <w:t>itional rulemaking authority to a state officer, department, agency, or institution.</w:t>
            </w:r>
          </w:p>
          <w:p w14:paraId="1DCBB569" w14:textId="77777777" w:rsidR="008423E4" w:rsidRPr="00E21FDC" w:rsidRDefault="008423E4" w:rsidP="003817EC">
            <w:pPr>
              <w:rPr>
                <w:b/>
              </w:rPr>
            </w:pPr>
          </w:p>
        </w:tc>
      </w:tr>
      <w:tr w:rsidR="00635538" w14:paraId="0DDB1C6C" w14:textId="77777777" w:rsidTr="00345119">
        <w:tc>
          <w:tcPr>
            <w:tcW w:w="9576" w:type="dxa"/>
          </w:tcPr>
          <w:p w14:paraId="041FF76F" w14:textId="77777777" w:rsidR="008423E4" w:rsidRPr="00A8133F" w:rsidRDefault="00A519A7" w:rsidP="003817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641359" w14:textId="77777777" w:rsidR="008423E4" w:rsidRDefault="008423E4" w:rsidP="003817EC"/>
          <w:p w14:paraId="6F4715BF" w14:textId="45AB1342" w:rsidR="009C36CD" w:rsidRDefault="00A519A7" w:rsidP="00381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12B20">
              <w:t xml:space="preserve">H.B. 3745 amends the </w:t>
            </w:r>
            <w:r w:rsidR="00912B20" w:rsidRPr="00912B20">
              <w:t>Business &amp; Commerce Code</w:t>
            </w:r>
            <w:r w:rsidR="00912B20">
              <w:t xml:space="preserve"> to prohibit a person from selling, using, or causing to be used any </w:t>
            </w:r>
            <w:r w:rsidR="00912B20" w:rsidRPr="00912B20">
              <w:t xml:space="preserve">method, technology, device, or software in the sale </w:t>
            </w:r>
            <w:r w:rsidR="00912B20">
              <w:t xml:space="preserve">of a good </w:t>
            </w:r>
            <w:r w:rsidR="00912B20" w:rsidRPr="00912B20">
              <w:t>on a website that</w:t>
            </w:r>
            <w:r w:rsidR="00912B20">
              <w:t xml:space="preserve"> does the following:</w:t>
            </w:r>
          </w:p>
          <w:p w14:paraId="151A271E" w14:textId="77777777" w:rsidR="00912B20" w:rsidRDefault="00A519A7" w:rsidP="003817E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12B20">
              <w:t>functions as a bypass in the purchasing process;</w:t>
            </w:r>
          </w:p>
          <w:p w14:paraId="275B5E93" w14:textId="77777777" w:rsidR="00912B20" w:rsidRDefault="00A519A7" w:rsidP="003817E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12B20">
              <w:t>disguises the identity of the purchaser;</w:t>
            </w:r>
          </w:p>
          <w:p w14:paraId="7747FB79" w14:textId="512C881A" w:rsidR="00912B20" w:rsidRDefault="00A519A7" w:rsidP="003817E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12B20">
              <w:t xml:space="preserve">permits the purchase of a quantity of </w:t>
            </w:r>
            <w:r>
              <w:t xml:space="preserve">goods </w:t>
            </w:r>
            <w:r w:rsidRPr="00912B20">
              <w:t>in a number that excee</w:t>
            </w:r>
            <w:r w:rsidRPr="00912B20">
              <w:t xml:space="preserve">ds the maximum number of </w:t>
            </w:r>
            <w:r w:rsidR="006E7F43">
              <w:t xml:space="preserve">goods </w:t>
            </w:r>
            <w:r w:rsidRPr="00912B20">
              <w:t xml:space="preserve">that may be sold to one purchaser as specified by the </w:t>
            </w:r>
            <w:r w:rsidR="006E7F43">
              <w:t xml:space="preserve">seller </w:t>
            </w:r>
            <w:r w:rsidRPr="00912B20">
              <w:t>or operator on the website;</w:t>
            </w:r>
            <w:r>
              <w:t xml:space="preserve"> or</w:t>
            </w:r>
          </w:p>
          <w:p w14:paraId="1F875B80" w14:textId="77777777" w:rsidR="00912B20" w:rsidRDefault="00A519A7" w:rsidP="003817E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12B20">
              <w:t>circumvents a security measure, access control system, or other control, authorization, or measure in the purchasing process.</w:t>
            </w:r>
          </w:p>
          <w:p w14:paraId="4A8D7FD9" w14:textId="77777777" w:rsidR="006E7F43" w:rsidRDefault="006E7F43" w:rsidP="00381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6E7F46" w14:textId="6056478D" w:rsidR="006E7F43" w:rsidRPr="009C36CD" w:rsidRDefault="00A519A7" w:rsidP="00381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</w:t>
            </w:r>
            <w:r>
              <w:t xml:space="preserve">B. 3745 authorizes the </w:t>
            </w:r>
            <w:r w:rsidRPr="006E7F43">
              <w:t xml:space="preserve">attorney general </w:t>
            </w:r>
            <w:r>
              <w:t>to</w:t>
            </w:r>
            <w:r w:rsidRPr="006E7F43">
              <w:t xml:space="preserve"> investigate a claim that a person violated</w:t>
            </w:r>
            <w:r>
              <w:t xml:space="preserve"> </w:t>
            </w:r>
            <w:r w:rsidR="002A2E65">
              <w:t>th</w:t>
            </w:r>
            <w:r>
              <w:t>is</w:t>
            </w:r>
            <w:r w:rsidR="002A2E65">
              <w:t xml:space="preserve"> prohibition</w:t>
            </w:r>
            <w:r w:rsidR="002A2E65" w:rsidRPr="002A2E65">
              <w:t xml:space="preserve"> </w:t>
            </w:r>
            <w:r w:rsidR="00B918FD">
              <w:t>and</w:t>
            </w:r>
            <w:r w:rsidR="00867CD2">
              <w:t>,</w:t>
            </w:r>
            <w:r w:rsidR="00B918FD">
              <w:t xml:space="preserve"> </w:t>
            </w:r>
            <w:r w:rsidR="002A2E65">
              <w:t>if the attorney general believes a person is violating or about to violate the prohibition</w:t>
            </w:r>
            <w:r>
              <w:t>,</w:t>
            </w:r>
            <w:r w:rsidRPr="002A2E65">
              <w:t xml:space="preserve"> </w:t>
            </w:r>
            <w:r>
              <w:t>to</w:t>
            </w:r>
            <w:r w:rsidRPr="002A2E65">
              <w:t xml:space="preserve"> bring an action in the name of the state </w:t>
            </w:r>
            <w:r w:rsidR="002A2E65">
              <w:t>to restrain or enjoin the</w:t>
            </w:r>
            <w:r w:rsidR="002A2E65" w:rsidRPr="002A2E65">
              <w:t xml:space="preserve"> person</w:t>
            </w:r>
            <w:r w:rsidR="002A2E65">
              <w:t xml:space="preserve"> from committing the violation. The bill </w:t>
            </w:r>
            <w:r w:rsidR="00B918FD">
              <w:t xml:space="preserve">entitles </w:t>
            </w:r>
            <w:r w:rsidR="002A2E65">
              <w:t xml:space="preserve">the attorney general to </w:t>
            </w:r>
            <w:r w:rsidR="002A2E65" w:rsidRPr="002A2E65">
              <w:t xml:space="preserve">recover all reasonable costs of bringing </w:t>
            </w:r>
            <w:r>
              <w:t xml:space="preserve">the </w:t>
            </w:r>
            <w:r w:rsidR="002A2E65" w:rsidRPr="002A2E65">
              <w:t>action</w:t>
            </w:r>
            <w:r w:rsidR="002A2E65">
              <w:t xml:space="preserve">, </w:t>
            </w:r>
            <w:r w:rsidR="002A2E65" w:rsidRPr="002A2E65">
              <w:t>including court costs, reasonable attorney's fees, and investigation costs.</w:t>
            </w:r>
            <w:r w:rsidR="002A2E65">
              <w:t xml:space="preserve"> </w:t>
            </w:r>
          </w:p>
          <w:p w14:paraId="7715794B" w14:textId="77777777" w:rsidR="008423E4" w:rsidRPr="00835628" w:rsidRDefault="008423E4" w:rsidP="003817EC">
            <w:pPr>
              <w:rPr>
                <w:b/>
              </w:rPr>
            </w:pPr>
          </w:p>
        </w:tc>
      </w:tr>
      <w:tr w:rsidR="00635538" w14:paraId="08B01E80" w14:textId="77777777" w:rsidTr="00345119">
        <w:tc>
          <w:tcPr>
            <w:tcW w:w="9576" w:type="dxa"/>
          </w:tcPr>
          <w:p w14:paraId="29DE1D8C" w14:textId="77777777" w:rsidR="008423E4" w:rsidRPr="00A8133F" w:rsidRDefault="00A519A7" w:rsidP="003817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20542F" w14:textId="77777777" w:rsidR="008423E4" w:rsidRDefault="008423E4" w:rsidP="003817EC"/>
          <w:p w14:paraId="784A5E1F" w14:textId="77777777" w:rsidR="008423E4" w:rsidRPr="003624F2" w:rsidRDefault="00A519A7" w:rsidP="00381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2021.</w:t>
            </w:r>
          </w:p>
          <w:p w14:paraId="5809BD4D" w14:textId="77777777" w:rsidR="008423E4" w:rsidRPr="00233FDB" w:rsidRDefault="008423E4" w:rsidP="003817EC">
            <w:pPr>
              <w:rPr>
                <w:b/>
              </w:rPr>
            </w:pPr>
          </w:p>
        </w:tc>
      </w:tr>
      <w:tr w:rsidR="00635538" w14:paraId="703BF0C5" w14:textId="77777777" w:rsidTr="00345119">
        <w:tc>
          <w:tcPr>
            <w:tcW w:w="9576" w:type="dxa"/>
          </w:tcPr>
          <w:p w14:paraId="66672EFF" w14:textId="77777777" w:rsidR="009B27DB" w:rsidRDefault="00A519A7" w:rsidP="003817E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90714F5" w14:textId="77777777" w:rsidR="00C43C36" w:rsidRDefault="00C43C36" w:rsidP="003817EC">
            <w:pPr>
              <w:jc w:val="both"/>
            </w:pPr>
          </w:p>
          <w:p w14:paraId="74656E30" w14:textId="5676AF8F" w:rsidR="00C43C36" w:rsidRDefault="00A519A7" w:rsidP="003817EC">
            <w:pPr>
              <w:jc w:val="both"/>
            </w:pPr>
            <w:r>
              <w:t>While C.S.H.B. 3745 may differ from the original in minor or nonsubstantive ways, the following summarizes the substantial differences between the introduced and committee substitute versions of the bill.</w:t>
            </w:r>
          </w:p>
          <w:p w14:paraId="2239E907" w14:textId="0EBC6A12" w:rsidR="004A63AE" w:rsidRDefault="004A63AE" w:rsidP="003817EC">
            <w:pPr>
              <w:jc w:val="both"/>
            </w:pPr>
          </w:p>
          <w:p w14:paraId="2FC53DB5" w14:textId="42643779" w:rsidR="004A63AE" w:rsidRDefault="00A519A7" w:rsidP="003817EC">
            <w:pPr>
              <w:jc w:val="both"/>
            </w:pPr>
            <w:r>
              <w:t xml:space="preserve">Whereas the substitute's prohibition applies with respect to the online sale of goods, the original also </w:t>
            </w:r>
            <w:r w:rsidR="00766C79">
              <w:t xml:space="preserve">specifically </w:t>
            </w:r>
            <w:r>
              <w:t>included the online sale or resale of event tickets in the scope of its prohibition. Accordingly,</w:t>
            </w:r>
            <w:r w:rsidR="00766C79">
              <w:t xml:space="preserve"> </w:t>
            </w:r>
            <w:r>
              <w:t>the substitute does not include the foll</w:t>
            </w:r>
            <w:r>
              <w:t>owing, which were present in the original:</w:t>
            </w:r>
          </w:p>
          <w:p w14:paraId="16FB7C7D" w14:textId="56C65B13" w:rsidR="004A63AE" w:rsidRDefault="00A519A7" w:rsidP="003817E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prohibition against </w:t>
            </w:r>
            <w:r w:rsidRPr="004A63AE">
              <w:t xml:space="preserve">decoding, decrypting, modifying, or reverse engineering an event ticket or </w:t>
            </w:r>
            <w:r w:rsidR="00F84B06">
              <w:t xml:space="preserve">related </w:t>
            </w:r>
            <w:r w:rsidRPr="004A63AE">
              <w:t>algorithm or barcode</w:t>
            </w:r>
            <w:r w:rsidR="00C8008B">
              <w:t>;</w:t>
            </w:r>
          </w:p>
          <w:p w14:paraId="31A0CC4A" w14:textId="696C5A31" w:rsidR="00C8008B" w:rsidRDefault="00A519A7" w:rsidP="003817E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definitions </w:t>
            </w:r>
            <w:r w:rsidR="00F84B06">
              <w:t xml:space="preserve">for </w:t>
            </w:r>
            <w:r>
              <w:t xml:space="preserve">"event," "event ticket," "resale," "resale ticket </w:t>
            </w:r>
            <w:r w:rsidR="000178C2">
              <w:t>agent</w:t>
            </w:r>
            <w:r>
              <w:t xml:space="preserve">," and "ticket </w:t>
            </w:r>
            <w:r>
              <w:t>issuer"</w:t>
            </w:r>
            <w:r w:rsidR="00217AE6">
              <w:t>;</w:t>
            </w:r>
            <w:r>
              <w:t xml:space="preserve"> and</w:t>
            </w:r>
          </w:p>
          <w:p w14:paraId="715E94EA" w14:textId="3D6EB999" w:rsidR="004A63AE" w:rsidRDefault="00A519A7" w:rsidP="003817EC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</w:t>
            </w:r>
            <w:r w:rsidR="00447FE5">
              <w:t xml:space="preserve">procedural provision </w:t>
            </w:r>
            <w:r w:rsidR="00F84B06">
              <w:t xml:space="preserve">making </w:t>
            </w:r>
            <w:r w:rsidR="00447FE5">
              <w:t>the bill's provisions</w:t>
            </w:r>
            <w:r w:rsidR="00F84B06">
              <w:t xml:space="preserve"> applicable</w:t>
            </w:r>
            <w:r w:rsidR="00447FE5">
              <w:t xml:space="preserve"> to a purchase that occurs on or after the bill's effective date, regardless of whether any event tickets were issued before that date.</w:t>
            </w:r>
          </w:p>
          <w:p w14:paraId="7F1F563A" w14:textId="50EF55A2" w:rsidR="00C43C36" w:rsidRPr="00C43C36" w:rsidRDefault="00C43C36" w:rsidP="003817EC">
            <w:pPr>
              <w:jc w:val="both"/>
            </w:pPr>
          </w:p>
        </w:tc>
      </w:tr>
      <w:tr w:rsidR="00635538" w14:paraId="0765EDAD" w14:textId="77777777" w:rsidTr="00345119">
        <w:tc>
          <w:tcPr>
            <w:tcW w:w="9576" w:type="dxa"/>
          </w:tcPr>
          <w:p w14:paraId="581A6372" w14:textId="77777777" w:rsidR="009B27DB" w:rsidRPr="009C1E9A" w:rsidRDefault="009B27DB" w:rsidP="003817EC">
            <w:pPr>
              <w:rPr>
                <w:b/>
                <w:u w:val="single"/>
              </w:rPr>
            </w:pPr>
          </w:p>
        </w:tc>
      </w:tr>
      <w:tr w:rsidR="00635538" w14:paraId="77E9FF1F" w14:textId="77777777" w:rsidTr="00345119">
        <w:tc>
          <w:tcPr>
            <w:tcW w:w="9576" w:type="dxa"/>
          </w:tcPr>
          <w:p w14:paraId="34A6A3E3" w14:textId="77777777" w:rsidR="009B27DB" w:rsidRPr="009B27DB" w:rsidRDefault="009B27DB" w:rsidP="003817EC">
            <w:pPr>
              <w:jc w:val="both"/>
            </w:pPr>
          </w:p>
        </w:tc>
      </w:tr>
    </w:tbl>
    <w:p w14:paraId="678EBAB6" w14:textId="77777777" w:rsidR="008423E4" w:rsidRPr="00BE0E75" w:rsidRDefault="008423E4" w:rsidP="003817EC">
      <w:pPr>
        <w:jc w:val="both"/>
        <w:rPr>
          <w:rFonts w:ascii="Arial" w:hAnsi="Arial"/>
          <w:sz w:val="16"/>
          <w:szCs w:val="16"/>
        </w:rPr>
      </w:pPr>
    </w:p>
    <w:p w14:paraId="699DCA61" w14:textId="77777777" w:rsidR="004108C3" w:rsidRPr="008423E4" w:rsidRDefault="004108C3" w:rsidP="003817E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6514E" w14:textId="77777777" w:rsidR="00000000" w:rsidRDefault="00A519A7">
      <w:r>
        <w:separator/>
      </w:r>
    </w:p>
  </w:endnote>
  <w:endnote w:type="continuationSeparator" w:id="0">
    <w:p w14:paraId="11AED07F" w14:textId="77777777" w:rsidR="00000000" w:rsidRDefault="00A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5A0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5538" w14:paraId="28D2FD17" w14:textId="77777777" w:rsidTr="009C1E9A">
      <w:trPr>
        <w:cantSplit/>
      </w:trPr>
      <w:tc>
        <w:tcPr>
          <w:tcW w:w="0" w:type="pct"/>
        </w:tcPr>
        <w:p w14:paraId="08DD0C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2EA8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100E0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F71F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72D1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5538" w14:paraId="7F8795A1" w14:textId="77777777" w:rsidTr="009C1E9A">
      <w:trPr>
        <w:cantSplit/>
      </w:trPr>
      <w:tc>
        <w:tcPr>
          <w:tcW w:w="0" w:type="pct"/>
        </w:tcPr>
        <w:p w14:paraId="414417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4A23EB" w14:textId="7C1610DD" w:rsidR="00EC379B" w:rsidRPr="009C1E9A" w:rsidRDefault="00A519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20534</w:t>
          </w:r>
        </w:p>
      </w:tc>
      <w:tc>
        <w:tcPr>
          <w:tcW w:w="2453" w:type="pct"/>
        </w:tcPr>
        <w:p w14:paraId="7350D851" w14:textId="13BFA5B0" w:rsidR="00EC379B" w:rsidRDefault="00A519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17949">
            <w:t>21.108.81</w:t>
          </w:r>
          <w:r>
            <w:fldChar w:fldCharType="end"/>
          </w:r>
        </w:p>
      </w:tc>
    </w:tr>
    <w:tr w:rsidR="00635538" w14:paraId="16978431" w14:textId="77777777" w:rsidTr="009C1E9A">
      <w:trPr>
        <w:cantSplit/>
      </w:trPr>
      <w:tc>
        <w:tcPr>
          <w:tcW w:w="0" w:type="pct"/>
        </w:tcPr>
        <w:p w14:paraId="0F844B9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15463FA" w14:textId="795946F1" w:rsidR="00EC379B" w:rsidRPr="009C1E9A" w:rsidRDefault="00A519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18282</w:t>
          </w:r>
        </w:p>
      </w:tc>
      <w:tc>
        <w:tcPr>
          <w:tcW w:w="2453" w:type="pct"/>
        </w:tcPr>
        <w:p w14:paraId="7D8C474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9790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5538" w14:paraId="54056A2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B6F8C2" w14:textId="64C8E4FA" w:rsidR="00EC379B" w:rsidRDefault="00A519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817E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F7203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EC56E7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C59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AC2C" w14:textId="77777777" w:rsidR="00000000" w:rsidRDefault="00A519A7">
      <w:r>
        <w:separator/>
      </w:r>
    </w:p>
  </w:footnote>
  <w:footnote w:type="continuationSeparator" w:id="0">
    <w:p w14:paraId="2A6CD517" w14:textId="77777777" w:rsidR="00000000" w:rsidRDefault="00A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8AF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79F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84C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2722"/>
    <w:multiLevelType w:val="hybridMultilevel"/>
    <w:tmpl w:val="15D84F94"/>
    <w:lvl w:ilvl="0" w:tplc="64160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65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88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2F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89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A0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44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4B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06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C00A7"/>
    <w:multiLevelType w:val="hybridMultilevel"/>
    <w:tmpl w:val="58B4457A"/>
    <w:lvl w:ilvl="0" w:tplc="09CE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CD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E7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26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AF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A4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69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6F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05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7A"/>
    <w:rsid w:val="00000A70"/>
    <w:rsid w:val="000032B8"/>
    <w:rsid w:val="00003B06"/>
    <w:rsid w:val="000054B9"/>
    <w:rsid w:val="00007461"/>
    <w:rsid w:val="0001117E"/>
    <w:rsid w:val="0001125F"/>
    <w:rsid w:val="00012CF1"/>
    <w:rsid w:val="0001338E"/>
    <w:rsid w:val="00013D24"/>
    <w:rsid w:val="00014AF0"/>
    <w:rsid w:val="000155D6"/>
    <w:rsid w:val="00015D4E"/>
    <w:rsid w:val="000178C2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475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B09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4A4"/>
    <w:rsid w:val="0020775D"/>
    <w:rsid w:val="002116DD"/>
    <w:rsid w:val="0021383D"/>
    <w:rsid w:val="00216BBA"/>
    <w:rsid w:val="00216E12"/>
    <w:rsid w:val="00217466"/>
    <w:rsid w:val="0021751D"/>
    <w:rsid w:val="00217AE6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E65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7EC"/>
    <w:rsid w:val="003847E8"/>
    <w:rsid w:val="0038731D"/>
    <w:rsid w:val="00387B60"/>
    <w:rsid w:val="00390098"/>
    <w:rsid w:val="00390670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FE5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3AE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538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153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F43"/>
    <w:rsid w:val="006F365D"/>
    <w:rsid w:val="006F3B7A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0F1"/>
    <w:rsid w:val="0075287B"/>
    <w:rsid w:val="00755C7B"/>
    <w:rsid w:val="00764786"/>
    <w:rsid w:val="00766C79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903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CD2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B20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27D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90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A6C"/>
    <w:rsid w:val="00A43960"/>
    <w:rsid w:val="00A46902"/>
    <w:rsid w:val="00A50CDB"/>
    <w:rsid w:val="00A519A7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8FD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C36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08B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1E3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3A7"/>
    <w:rsid w:val="00D17949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F2D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5B71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B06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5BC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63A4A8-254A-4FF1-9B9F-F8489E5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7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7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7F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7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7F43"/>
    <w:rPr>
      <w:b/>
      <w:bCs/>
    </w:rPr>
  </w:style>
  <w:style w:type="paragraph" w:styleId="ListParagraph">
    <w:name w:val="List Paragraph"/>
    <w:basedOn w:val="Normal"/>
    <w:uiPriority w:val="34"/>
    <w:qFormat/>
    <w:rsid w:val="004A63AE"/>
    <w:pPr>
      <w:ind w:left="720"/>
      <w:contextualSpacing/>
    </w:pPr>
  </w:style>
  <w:style w:type="character" w:styleId="Hyperlink">
    <w:name w:val="Hyperlink"/>
    <w:basedOn w:val="DefaultParagraphFont"/>
    <w:unhideWhenUsed/>
    <w:rsid w:val="00206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2920</Characters>
  <Application>Microsoft Office Word</Application>
  <DocSecurity>4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HB03745 (Committee Report (Substituted))</vt:lpstr>
    </vt:vector>
  </TitlesOfParts>
  <Company>State of Texas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20534</dc:subject>
  <dc:creator>State of Texas</dc:creator>
  <dc:description>HB 3745 by Capriglione-(H)Business &amp; Industry (Substitute Document Number: 87R 18282)</dc:description>
  <cp:lastModifiedBy>Stacey Nicchio</cp:lastModifiedBy>
  <cp:revision>2</cp:revision>
  <cp:lastPrinted>2003-11-26T17:21:00Z</cp:lastPrinted>
  <dcterms:created xsi:type="dcterms:W3CDTF">2021-04-19T23:34:00Z</dcterms:created>
  <dcterms:modified xsi:type="dcterms:W3CDTF">2021-04-19T23:34:00Z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21.108.81</vt:lpwstr>
  </property>
</Properties>
</file>