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13FA1" w14:paraId="3976F7CB" w14:textId="77777777" w:rsidTr="00345119">
        <w:tc>
          <w:tcPr>
            <w:tcW w:w="9576" w:type="dxa"/>
            <w:noWrap/>
          </w:tcPr>
          <w:p w14:paraId="2F17A739" w14:textId="77777777" w:rsidR="008423E4" w:rsidRPr="0022177D" w:rsidRDefault="009D19CE" w:rsidP="00345119">
            <w:pPr>
              <w:pStyle w:val="Heading1"/>
            </w:pPr>
            <w:bookmarkStart w:id="0" w:name="_GoBack"/>
            <w:bookmarkEnd w:id="0"/>
            <w:r w:rsidRPr="00631897">
              <w:t>BILL ANALYSIS</w:t>
            </w:r>
          </w:p>
        </w:tc>
      </w:tr>
    </w:tbl>
    <w:p w14:paraId="240D0888" w14:textId="77777777" w:rsidR="008423E4" w:rsidRPr="0022177D" w:rsidRDefault="008423E4" w:rsidP="008423E4">
      <w:pPr>
        <w:jc w:val="center"/>
      </w:pPr>
    </w:p>
    <w:p w14:paraId="230CFE75" w14:textId="77777777" w:rsidR="008423E4" w:rsidRPr="00B31F0E" w:rsidRDefault="008423E4" w:rsidP="008423E4"/>
    <w:p w14:paraId="448A990F"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313FA1" w14:paraId="76875045" w14:textId="77777777" w:rsidTr="00345119">
        <w:tc>
          <w:tcPr>
            <w:tcW w:w="9576" w:type="dxa"/>
          </w:tcPr>
          <w:p w14:paraId="141EA407" w14:textId="688459A8" w:rsidR="008423E4" w:rsidRPr="00861995" w:rsidRDefault="009D19CE" w:rsidP="00345119">
            <w:pPr>
              <w:jc w:val="right"/>
            </w:pPr>
            <w:r>
              <w:t>H.B. 3769</w:t>
            </w:r>
          </w:p>
        </w:tc>
      </w:tr>
      <w:tr w:rsidR="00313FA1" w14:paraId="0E178745" w14:textId="77777777" w:rsidTr="00345119">
        <w:tc>
          <w:tcPr>
            <w:tcW w:w="9576" w:type="dxa"/>
          </w:tcPr>
          <w:p w14:paraId="401F5BF4" w14:textId="32D658AF" w:rsidR="008423E4" w:rsidRPr="00861995" w:rsidRDefault="009D19CE" w:rsidP="00BA1856">
            <w:pPr>
              <w:jc w:val="right"/>
            </w:pPr>
            <w:r>
              <w:t xml:space="preserve">By: </w:t>
            </w:r>
            <w:r w:rsidR="00BA1856">
              <w:t>Smithee</w:t>
            </w:r>
          </w:p>
        </w:tc>
      </w:tr>
      <w:tr w:rsidR="00313FA1" w14:paraId="0753D955" w14:textId="77777777" w:rsidTr="00345119">
        <w:tc>
          <w:tcPr>
            <w:tcW w:w="9576" w:type="dxa"/>
          </w:tcPr>
          <w:p w14:paraId="37AD1D8F" w14:textId="7B4154CF" w:rsidR="008423E4" w:rsidRPr="00861995" w:rsidRDefault="009D19CE" w:rsidP="00345119">
            <w:pPr>
              <w:jc w:val="right"/>
            </w:pPr>
            <w:r>
              <w:t>Insurance</w:t>
            </w:r>
          </w:p>
        </w:tc>
      </w:tr>
      <w:tr w:rsidR="00313FA1" w14:paraId="4BD9C503" w14:textId="77777777" w:rsidTr="00345119">
        <w:tc>
          <w:tcPr>
            <w:tcW w:w="9576" w:type="dxa"/>
          </w:tcPr>
          <w:p w14:paraId="36C55850" w14:textId="268F6665" w:rsidR="008423E4" w:rsidRDefault="009D19CE" w:rsidP="00345119">
            <w:pPr>
              <w:jc w:val="right"/>
            </w:pPr>
            <w:r>
              <w:t>Committee Report (Unamended)</w:t>
            </w:r>
          </w:p>
        </w:tc>
      </w:tr>
    </w:tbl>
    <w:p w14:paraId="7C67D6A8" w14:textId="77777777" w:rsidR="008423E4" w:rsidRDefault="008423E4" w:rsidP="008423E4">
      <w:pPr>
        <w:tabs>
          <w:tab w:val="right" w:pos="9360"/>
        </w:tabs>
      </w:pPr>
    </w:p>
    <w:p w14:paraId="36A2F1AE" w14:textId="77777777" w:rsidR="008423E4" w:rsidRDefault="008423E4" w:rsidP="008423E4"/>
    <w:p w14:paraId="241E636C"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313FA1" w14:paraId="086D510A" w14:textId="77777777" w:rsidTr="00345119">
        <w:tc>
          <w:tcPr>
            <w:tcW w:w="9576" w:type="dxa"/>
          </w:tcPr>
          <w:p w14:paraId="3CD8FD74" w14:textId="77777777" w:rsidR="008423E4" w:rsidRPr="00A8133F" w:rsidRDefault="009D19CE" w:rsidP="00A7276E">
            <w:pPr>
              <w:rPr>
                <w:b/>
              </w:rPr>
            </w:pPr>
            <w:r w:rsidRPr="009C1E9A">
              <w:rPr>
                <w:b/>
                <w:u w:val="single"/>
              </w:rPr>
              <w:t>BACKGROUND AND PURPOSE</w:t>
            </w:r>
            <w:r>
              <w:rPr>
                <w:b/>
              </w:rPr>
              <w:t xml:space="preserve"> </w:t>
            </w:r>
          </w:p>
          <w:p w14:paraId="6B800F19" w14:textId="77777777" w:rsidR="008423E4" w:rsidRDefault="008423E4" w:rsidP="00A7276E"/>
          <w:p w14:paraId="2AD0289F" w14:textId="3646550A" w:rsidR="008423E4" w:rsidRDefault="009D19CE" w:rsidP="00A7276E">
            <w:pPr>
              <w:pStyle w:val="Header"/>
              <w:jc w:val="both"/>
            </w:pPr>
            <w:r>
              <w:t>A current property and casualty insurance rule relating to the sale of alternatives to workers</w:t>
            </w:r>
            <w:r w:rsidR="001F2434">
              <w:t>'</w:t>
            </w:r>
            <w:r>
              <w:t xml:space="preserve"> compensation insurance is broadly written to require all individual and group policies of insurance that provide benefits to employees to include a 10-point boldface type disclosure on the </w:t>
            </w:r>
            <w:r w:rsidR="001F2434">
              <w:t xml:space="preserve">applicable </w:t>
            </w:r>
            <w:r>
              <w:t xml:space="preserve">policy </w:t>
            </w:r>
            <w:r w:rsidR="001F2434">
              <w:t xml:space="preserve">and other related materials </w:t>
            </w:r>
            <w:r>
              <w:t>stating that the pol</w:t>
            </w:r>
            <w:r>
              <w:t>icy is not a workers</w:t>
            </w:r>
            <w:r w:rsidR="001F2434">
              <w:t>'</w:t>
            </w:r>
            <w:r>
              <w:t xml:space="preserve"> compensation policy. As currently written, the rule could be interpreted to apply to any policy sold through an employer, even those that specifically exclude occupational injuries and policies that could not reasonably be confused as</w:t>
            </w:r>
            <w:r>
              <w:t xml:space="preserve"> a </w:t>
            </w:r>
            <w:r w:rsidR="004950BC">
              <w:t xml:space="preserve">workers' </w:t>
            </w:r>
            <w:r>
              <w:t xml:space="preserve">compensation policy, such as dental or vision coverage. H.B. 3769 seeks to reduce confusion by clarifying </w:t>
            </w:r>
            <w:r w:rsidR="00C14694">
              <w:t>the policies for which</w:t>
            </w:r>
            <w:r>
              <w:t xml:space="preserve"> this disclosure is required.</w:t>
            </w:r>
          </w:p>
          <w:p w14:paraId="0EB31D07" w14:textId="77777777" w:rsidR="008423E4" w:rsidRPr="00E26B13" w:rsidRDefault="008423E4" w:rsidP="00A7276E">
            <w:pPr>
              <w:rPr>
                <w:b/>
              </w:rPr>
            </w:pPr>
          </w:p>
        </w:tc>
      </w:tr>
      <w:tr w:rsidR="00313FA1" w14:paraId="154C31A0" w14:textId="77777777" w:rsidTr="00345119">
        <w:tc>
          <w:tcPr>
            <w:tcW w:w="9576" w:type="dxa"/>
          </w:tcPr>
          <w:p w14:paraId="64CAA8A6" w14:textId="77777777" w:rsidR="0017725B" w:rsidRDefault="009D19CE" w:rsidP="00A7276E">
            <w:pPr>
              <w:rPr>
                <w:b/>
                <w:u w:val="single"/>
              </w:rPr>
            </w:pPr>
            <w:r>
              <w:rPr>
                <w:b/>
                <w:u w:val="single"/>
              </w:rPr>
              <w:t>CRIMINAL JUSTICE IMPACT</w:t>
            </w:r>
          </w:p>
          <w:p w14:paraId="4DB4D51A" w14:textId="77777777" w:rsidR="0017725B" w:rsidRDefault="0017725B" w:rsidP="00A7276E">
            <w:pPr>
              <w:rPr>
                <w:b/>
                <w:u w:val="single"/>
              </w:rPr>
            </w:pPr>
          </w:p>
          <w:p w14:paraId="2D601665" w14:textId="77777777" w:rsidR="002C2C9F" w:rsidRPr="002C2C9F" w:rsidRDefault="009D19CE" w:rsidP="00A7276E">
            <w:pPr>
              <w:jc w:val="both"/>
            </w:pPr>
            <w:r>
              <w:t>It is the committee's opinion that this bill does not expre</w:t>
            </w:r>
            <w:r>
              <w:t>ssly create a criminal offense, increase the punishment for an existing criminal offense or category of offenses, or change the eligibility of a person for community supervision, parole, or mandatory supervision.</w:t>
            </w:r>
          </w:p>
          <w:p w14:paraId="5A47F343" w14:textId="77777777" w:rsidR="0017725B" w:rsidRPr="0017725B" w:rsidRDefault="0017725B" w:rsidP="00A7276E">
            <w:pPr>
              <w:rPr>
                <w:b/>
                <w:u w:val="single"/>
              </w:rPr>
            </w:pPr>
          </w:p>
        </w:tc>
      </w:tr>
      <w:tr w:rsidR="00313FA1" w14:paraId="5E39F049" w14:textId="77777777" w:rsidTr="00345119">
        <w:tc>
          <w:tcPr>
            <w:tcW w:w="9576" w:type="dxa"/>
          </w:tcPr>
          <w:p w14:paraId="27188A43" w14:textId="77777777" w:rsidR="008423E4" w:rsidRPr="00A8133F" w:rsidRDefault="009D19CE" w:rsidP="00A7276E">
            <w:pPr>
              <w:rPr>
                <w:b/>
              </w:rPr>
            </w:pPr>
            <w:r w:rsidRPr="009C1E9A">
              <w:rPr>
                <w:b/>
                <w:u w:val="single"/>
              </w:rPr>
              <w:t>RULEMAKING AUTHORITY</w:t>
            </w:r>
            <w:r>
              <w:rPr>
                <w:b/>
              </w:rPr>
              <w:t xml:space="preserve"> </w:t>
            </w:r>
          </w:p>
          <w:p w14:paraId="737CFC96" w14:textId="77777777" w:rsidR="008423E4" w:rsidRDefault="008423E4" w:rsidP="00A7276E"/>
          <w:p w14:paraId="1CF2F4F0" w14:textId="77777777" w:rsidR="002C2C9F" w:rsidRDefault="009D19CE" w:rsidP="00A7276E">
            <w:pPr>
              <w:pStyle w:val="Header"/>
              <w:tabs>
                <w:tab w:val="clear" w:pos="4320"/>
                <w:tab w:val="clear" w:pos="8640"/>
              </w:tabs>
              <w:jc w:val="both"/>
            </w:pPr>
            <w:r>
              <w:t xml:space="preserve">It is the </w:t>
            </w:r>
            <w:r>
              <w:t>committee's opinion that rulemaking authority is expressly granted to the commissioner of insurance in SECTION 1 of this bill.</w:t>
            </w:r>
          </w:p>
          <w:p w14:paraId="2FAB6B23" w14:textId="77777777" w:rsidR="008423E4" w:rsidRPr="00E21FDC" w:rsidRDefault="008423E4" w:rsidP="00A7276E">
            <w:pPr>
              <w:rPr>
                <w:b/>
              </w:rPr>
            </w:pPr>
          </w:p>
        </w:tc>
      </w:tr>
      <w:tr w:rsidR="00313FA1" w14:paraId="685DCE1D" w14:textId="77777777" w:rsidTr="00345119">
        <w:tc>
          <w:tcPr>
            <w:tcW w:w="9576" w:type="dxa"/>
          </w:tcPr>
          <w:p w14:paraId="6FC400CD" w14:textId="77777777" w:rsidR="008423E4" w:rsidRPr="00A8133F" w:rsidRDefault="009D19CE" w:rsidP="00A7276E">
            <w:pPr>
              <w:rPr>
                <w:b/>
              </w:rPr>
            </w:pPr>
            <w:r w:rsidRPr="009C1E9A">
              <w:rPr>
                <w:b/>
                <w:u w:val="single"/>
              </w:rPr>
              <w:t>ANALYSIS</w:t>
            </w:r>
            <w:r>
              <w:rPr>
                <w:b/>
              </w:rPr>
              <w:t xml:space="preserve"> </w:t>
            </w:r>
          </w:p>
          <w:p w14:paraId="4D5FA1F9" w14:textId="77777777" w:rsidR="008423E4" w:rsidRDefault="008423E4" w:rsidP="00A7276E"/>
          <w:p w14:paraId="68D59DB4" w14:textId="6CE0CF18" w:rsidR="009C36CD" w:rsidRDefault="009D19CE" w:rsidP="00A7276E">
            <w:pPr>
              <w:pStyle w:val="Header"/>
              <w:tabs>
                <w:tab w:val="clear" w:pos="4320"/>
                <w:tab w:val="clear" w:pos="8640"/>
              </w:tabs>
              <w:jc w:val="both"/>
            </w:pPr>
            <w:r>
              <w:t xml:space="preserve">H.B. 3769 amends the Insurance Code to require </w:t>
            </w:r>
            <w:r w:rsidR="0054103F">
              <w:t xml:space="preserve">an </w:t>
            </w:r>
            <w:r w:rsidR="002B6BBC">
              <w:t xml:space="preserve">occupational </w:t>
            </w:r>
            <w:r w:rsidR="0054103F">
              <w:t xml:space="preserve">insurance </w:t>
            </w:r>
            <w:r w:rsidR="002B6BBC">
              <w:t>polic</w:t>
            </w:r>
            <w:r w:rsidR="0054103F">
              <w:t>y</w:t>
            </w:r>
            <w:r w:rsidR="0075784C">
              <w:t xml:space="preserve"> to include a</w:t>
            </w:r>
            <w:r w:rsidR="0054103F">
              <w:t xml:space="preserve"> specified</w:t>
            </w:r>
            <w:r w:rsidR="0075784C">
              <w:t xml:space="preserve"> disclosure statement </w:t>
            </w:r>
            <w:r w:rsidR="0054103F">
              <w:t xml:space="preserve">regarding the fact that the policy is not a workers' compensation policy </w:t>
            </w:r>
            <w:r w:rsidR="0075784C">
              <w:t xml:space="preserve">on the first page of the policy and on the first page of all materials used in advertising or marketing the occupational policy to an employer that elects not to maintain workers' compensation insurance coverage. </w:t>
            </w:r>
            <w:r w:rsidR="00CE20E9">
              <w:t xml:space="preserve">The bill </w:t>
            </w:r>
            <w:r w:rsidR="00AF5B7A">
              <w:t xml:space="preserve">classifies the following as an </w:t>
            </w:r>
            <w:r w:rsidR="00CE20E9">
              <w:t>"occupational policy":</w:t>
            </w:r>
          </w:p>
          <w:p w14:paraId="660FF0D5" w14:textId="77777777" w:rsidR="00CE20E9" w:rsidRDefault="009D19CE" w:rsidP="00A7276E">
            <w:pPr>
              <w:pStyle w:val="Header"/>
              <w:numPr>
                <w:ilvl w:val="0"/>
                <w:numId w:val="1"/>
              </w:numPr>
              <w:tabs>
                <w:tab w:val="clear" w:pos="4320"/>
                <w:tab w:val="clear" w:pos="8640"/>
              </w:tabs>
              <w:jc w:val="both"/>
            </w:pPr>
            <w:r>
              <w:t>an individual or group accident or health insurance policy that explicitly provides coverage or benefits for an employer or the employer's employees for</w:t>
            </w:r>
            <w:r>
              <w:t xml:space="preserve"> an employee's occupational bodily injury, disease, or death;</w:t>
            </w:r>
          </w:p>
          <w:p w14:paraId="0C97118B" w14:textId="4C8D89A6" w:rsidR="00CE20E9" w:rsidRDefault="009D19CE" w:rsidP="00A7276E">
            <w:pPr>
              <w:pStyle w:val="Header"/>
              <w:numPr>
                <w:ilvl w:val="0"/>
                <w:numId w:val="1"/>
              </w:numPr>
              <w:tabs>
                <w:tab w:val="clear" w:pos="4320"/>
                <w:tab w:val="clear" w:pos="8640"/>
              </w:tabs>
              <w:jc w:val="both"/>
            </w:pPr>
            <w:r>
              <w:t>an employer's insurance policy that explicitly provides liability coverage to an employer that elects not to maintain workers' compensation insurance coverage for an employee's occupational bodi</w:t>
            </w:r>
            <w:r>
              <w:t>ly injury, disease, or death in</w:t>
            </w:r>
            <w:r w:rsidR="009E1482">
              <w:t xml:space="preserve"> one of the following</w:t>
            </w:r>
            <w:r w:rsidR="00C62FB0">
              <w:t xml:space="preserve"> types of policies</w:t>
            </w:r>
            <w:r>
              <w:t>:</w:t>
            </w:r>
          </w:p>
          <w:p w14:paraId="1A88C622" w14:textId="77777777" w:rsidR="00CE20E9" w:rsidRDefault="009D19CE" w:rsidP="00A7276E">
            <w:pPr>
              <w:pStyle w:val="Header"/>
              <w:numPr>
                <w:ilvl w:val="1"/>
                <w:numId w:val="1"/>
              </w:numPr>
              <w:tabs>
                <w:tab w:val="clear" w:pos="4320"/>
                <w:tab w:val="clear" w:pos="8640"/>
              </w:tabs>
              <w:jc w:val="both"/>
            </w:pPr>
            <w:r>
              <w:t>a general liability insurance policy;</w:t>
            </w:r>
          </w:p>
          <w:p w14:paraId="0C25C884" w14:textId="77777777" w:rsidR="00AB2376" w:rsidRDefault="009D19CE" w:rsidP="00A7276E">
            <w:pPr>
              <w:pStyle w:val="Header"/>
              <w:numPr>
                <w:ilvl w:val="1"/>
                <w:numId w:val="1"/>
              </w:numPr>
              <w:tabs>
                <w:tab w:val="clear" w:pos="4320"/>
                <w:tab w:val="clear" w:pos="8640"/>
              </w:tabs>
              <w:jc w:val="both"/>
            </w:pPr>
            <w:r>
              <w:t>a commercial multiple peril insurance policy; or</w:t>
            </w:r>
          </w:p>
          <w:p w14:paraId="208A3258" w14:textId="49F532E5" w:rsidR="00AB2376" w:rsidRDefault="009D19CE" w:rsidP="00A7276E">
            <w:pPr>
              <w:pStyle w:val="Header"/>
              <w:numPr>
                <w:ilvl w:val="1"/>
                <w:numId w:val="1"/>
              </w:numPr>
              <w:tabs>
                <w:tab w:val="clear" w:pos="4320"/>
                <w:tab w:val="clear" w:pos="8640"/>
              </w:tabs>
              <w:jc w:val="both"/>
            </w:pPr>
            <w:r>
              <w:t xml:space="preserve">any other type of insurance policy designated by </w:t>
            </w:r>
            <w:r w:rsidR="000B7AFD">
              <w:t xml:space="preserve">the </w:t>
            </w:r>
            <w:r>
              <w:t>Texas Department of Insurance as intended to</w:t>
            </w:r>
            <w:r>
              <w:t xml:space="preserve"> provide</w:t>
            </w:r>
            <w:r w:rsidR="009E1482">
              <w:t xml:space="preserve"> such</w:t>
            </w:r>
            <w:r>
              <w:t xml:space="preserve"> liability coverage;</w:t>
            </w:r>
          </w:p>
          <w:p w14:paraId="70BA0AE5" w14:textId="77777777" w:rsidR="00AB2376" w:rsidRDefault="009D19CE" w:rsidP="00A7276E">
            <w:pPr>
              <w:pStyle w:val="Header"/>
              <w:numPr>
                <w:ilvl w:val="0"/>
                <w:numId w:val="1"/>
              </w:numPr>
              <w:tabs>
                <w:tab w:val="clear" w:pos="4320"/>
                <w:tab w:val="clear" w:pos="8640"/>
              </w:tabs>
              <w:jc w:val="both"/>
            </w:pPr>
            <w:r>
              <w:t xml:space="preserve">an accident, health, or liability insurance policy that does not expressly include coverage for occupational injuries, disease, or death, but is marketed or sold to or through an employer as an alternative to coverage for </w:t>
            </w:r>
            <w:r>
              <w:t>benefits or liability provided by a workers' compensation insurance policy; and</w:t>
            </w:r>
          </w:p>
          <w:p w14:paraId="2C40E47C" w14:textId="77777777" w:rsidR="00AB2376" w:rsidRDefault="009D19CE" w:rsidP="00A7276E">
            <w:pPr>
              <w:pStyle w:val="Header"/>
              <w:numPr>
                <w:ilvl w:val="0"/>
                <w:numId w:val="1"/>
              </w:numPr>
              <w:tabs>
                <w:tab w:val="clear" w:pos="4320"/>
                <w:tab w:val="clear" w:pos="8640"/>
              </w:tabs>
              <w:jc w:val="both"/>
            </w:pPr>
            <w:r>
              <w:t>a policy that includes occupational accident and health and liability coverage in the same policy.</w:t>
            </w:r>
          </w:p>
          <w:p w14:paraId="508A3519" w14:textId="77777777" w:rsidR="00BD1B72" w:rsidRDefault="00BD1B72" w:rsidP="00A7276E">
            <w:pPr>
              <w:pStyle w:val="Header"/>
              <w:tabs>
                <w:tab w:val="clear" w:pos="4320"/>
                <w:tab w:val="clear" w:pos="8640"/>
              </w:tabs>
              <w:jc w:val="both"/>
            </w:pPr>
          </w:p>
          <w:p w14:paraId="79276D2C" w14:textId="184AC64C" w:rsidR="001402B9" w:rsidRPr="009C36CD" w:rsidRDefault="009D19CE" w:rsidP="00A7276E">
            <w:pPr>
              <w:pStyle w:val="Header"/>
              <w:tabs>
                <w:tab w:val="clear" w:pos="4320"/>
                <w:tab w:val="clear" w:pos="8640"/>
              </w:tabs>
              <w:jc w:val="both"/>
            </w:pPr>
            <w:r>
              <w:t>H.B. 3769 establishes, and provides certain exceptions to, the applicability</w:t>
            </w:r>
            <w:r>
              <w:t xml:space="preserve"> of its provisions. </w:t>
            </w:r>
            <w:r w:rsidR="00E33AE9">
              <w:t xml:space="preserve">The bill requires the commissioner </w:t>
            </w:r>
            <w:r>
              <w:t>of insurance to adopt rules to implement the bill's provisions</w:t>
            </w:r>
            <w:r w:rsidR="0054103F">
              <w:t xml:space="preserve"> and sets out the scope and purpose of those provisions</w:t>
            </w:r>
            <w:r>
              <w:t>.</w:t>
            </w:r>
            <w:r w:rsidR="0054103F">
              <w:t xml:space="preserve"> The bill</w:t>
            </w:r>
            <w:r>
              <w:t xml:space="preserve"> applies only to </w:t>
            </w:r>
            <w:r w:rsidRPr="001402B9">
              <w:t>an occupational insurance policy delivered, issued for de</w:t>
            </w:r>
            <w:r w:rsidRPr="001402B9">
              <w:t>livery, or renewed on or after January 1, 2022.</w:t>
            </w:r>
          </w:p>
          <w:p w14:paraId="78943262" w14:textId="77777777" w:rsidR="008423E4" w:rsidRPr="00835628" w:rsidRDefault="008423E4" w:rsidP="00A7276E">
            <w:pPr>
              <w:rPr>
                <w:b/>
              </w:rPr>
            </w:pPr>
          </w:p>
        </w:tc>
      </w:tr>
      <w:tr w:rsidR="00313FA1" w14:paraId="0512C677" w14:textId="77777777" w:rsidTr="00345119">
        <w:tc>
          <w:tcPr>
            <w:tcW w:w="9576" w:type="dxa"/>
          </w:tcPr>
          <w:p w14:paraId="71B919C1" w14:textId="77777777" w:rsidR="008423E4" w:rsidRPr="00A8133F" w:rsidRDefault="009D19CE" w:rsidP="00A7276E">
            <w:pPr>
              <w:rPr>
                <w:b/>
              </w:rPr>
            </w:pPr>
            <w:r w:rsidRPr="009C1E9A">
              <w:rPr>
                <w:b/>
                <w:u w:val="single"/>
              </w:rPr>
              <w:t>EFFECTIVE DATE</w:t>
            </w:r>
            <w:r>
              <w:rPr>
                <w:b/>
              </w:rPr>
              <w:t xml:space="preserve"> </w:t>
            </w:r>
          </w:p>
          <w:p w14:paraId="651DFE8B" w14:textId="77777777" w:rsidR="008423E4" w:rsidRDefault="008423E4" w:rsidP="00A7276E"/>
          <w:p w14:paraId="4ABAF708" w14:textId="77777777" w:rsidR="008423E4" w:rsidRPr="003624F2" w:rsidRDefault="009D19CE" w:rsidP="00A7276E">
            <w:pPr>
              <w:pStyle w:val="Header"/>
              <w:tabs>
                <w:tab w:val="clear" w:pos="4320"/>
                <w:tab w:val="clear" w:pos="8640"/>
              </w:tabs>
              <w:jc w:val="both"/>
            </w:pPr>
            <w:r>
              <w:t>September 1, 2021.</w:t>
            </w:r>
          </w:p>
          <w:p w14:paraId="01A3D443" w14:textId="77777777" w:rsidR="008423E4" w:rsidRPr="00233FDB" w:rsidRDefault="008423E4" w:rsidP="00A7276E">
            <w:pPr>
              <w:rPr>
                <w:b/>
              </w:rPr>
            </w:pPr>
          </w:p>
        </w:tc>
      </w:tr>
    </w:tbl>
    <w:p w14:paraId="3C547895" w14:textId="77777777" w:rsidR="008423E4" w:rsidRPr="00BE0E75" w:rsidRDefault="008423E4" w:rsidP="008423E4">
      <w:pPr>
        <w:spacing w:line="480" w:lineRule="auto"/>
        <w:jc w:val="both"/>
        <w:rPr>
          <w:rFonts w:ascii="Arial" w:hAnsi="Arial"/>
          <w:sz w:val="16"/>
          <w:szCs w:val="16"/>
        </w:rPr>
      </w:pPr>
    </w:p>
    <w:p w14:paraId="0FA2B7B1"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951E4" w14:textId="77777777" w:rsidR="00000000" w:rsidRDefault="009D19CE">
      <w:r>
        <w:separator/>
      </w:r>
    </w:p>
  </w:endnote>
  <w:endnote w:type="continuationSeparator" w:id="0">
    <w:p w14:paraId="1A02C092" w14:textId="77777777" w:rsidR="00000000" w:rsidRDefault="009D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90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13FA1" w14:paraId="12D7B5BF" w14:textId="77777777" w:rsidTr="009C1E9A">
      <w:trPr>
        <w:cantSplit/>
      </w:trPr>
      <w:tc>
        <w:tcPr>
          <w:tcW w:w="0" w:type="pct"/>
        </w:tcPr>
        <w:p w14:paraId="3E2A5FA1" w14:textId="77777777" w:rsidR="00137D90" w:rsidRDefault="00137D90" w:rsidP="009C1E9A">
          <w:pPr>
            <w:pStyle w:val="Footer"/>
            <w:tabs>
              <w:tab w:val="clear" w:pos="8640"/>
              <w:tab w:val="right" w:pos="9360"/>
            </w:tabs>
          </w:pPr>
        </w:p>
      </w:tc>
      <w:tc>
        <w:tcPr>
          <w:tcW w:w="2395" w:type="pct"/>
        </w:tcPr>
        <w:p w14:paraId="7AA37322" w14:textId="77777777" w:rsidR="00137D90" w:rsidRDefault="00137D90" w:rsidP="009C1E9A">
          <w:pPr>
            <w:pStyle w:val="Footer"/>
            <w:tabs>
              <w:tab w:val="clear" w:pos="8640"/>
              <w:tab w:val="right" w:pos="9360"/>
            </w:tabs>
          </w:pPr>
        </w:p>
        <w:p w14:paraId="6B84E2C6" w14:textId="77777777" w:rsidR="001A4310" w:rsidRDefault="001A4310" w:rsidP="009C1E9A">
          <w:pPr>
            <w:pStyle w:val="Footer"/>
            <w:tabs>
              <w:tab w:val="clear" w:pos="8640"/>
              <w:tab w:val="right" w:pos="9360"/>
            </w:tabs>
          </w:pPr>
        </w:p>
        <w:p w14:paraId="63FCB6D8" w14:textId="77777777" w:rsidR="00137D90" w:rsidRDefault="00137D90" w:rsidP="009C1E9A">
          <w:pPr>
            <w:pStyle w:val="Footer"/>
            <w:tabs>
              <w:tab w:val="clear" w:pos="8640"/>
              <w:tab w:val="right" w:pos="9360"/>
            </w:tabs>
          </w:pPr>
        </w:p>
      </w:tc>
      <w:tc>
        <w:tcPr>
          <w:tcW w:w="2453" w:type="pct"/>
        </w:tcPr>
        <w:p w14:paraId="70FF727A" w14:textId="77777777" w:rsidR="00137D90" w:rsidRDefault="00137D90" w:rsidP="009C1E9A">
          <w:pPr>
            <w:pStyle w:val="Footer"/>
            <w:tabs>
              <w:tab w:val="clear" w:pos="8640"/>
              <w:tab w:val="right" w:pos="9360"/>
            </w:tabs>
            <w:jc w:val="right"/>
          </w:pPr>
        </w:p>
      </w:tc>
    </w:tr>
    <w:tr w:rsidR="00313FA1" w14:paraId="12A3851D" w14:textId="77777777" w:rsidTr="009C1E9A">
      <w:trPr>
        <w:cantSplit/>
      </w:trPr>
      <w:tc>
        <w:tcPr>
          <w:tcW w:w="0" w:type="pct"/>
        </w:tcPr>
        <w:p w14:paraId="78642AF0" w14:textId="77777777" w:rsidR="00EC379B" w:rsidRDefault="00EC379B" w:rsidP="009C1E9A">
          <w:pPr>
            <w:pStyle w:val="Footer"/>
            <w:tabs>
              <w:tab w:val="clear" w:pos="8640"/>
              <w:tab w:val="right" w:pos="9360"/>
            </w:tabs>
          </w:pPr>
        </w:p>
      </w:tc>
      <w:tc>
        <w:tcPr>
          <w:tcW w:w="2395" w:type="pct"/>
        </w:tcPr>
        <w:p w14:paraId="35D02F20" w14:textId="286995A3" w:rsidR="00EC379B" w:rsidRPr="009C1E9A" w:rsidRDefault="009D19CE" w:rsidP="009C1E9A">
          <w:pPr>
            <w:pStyle w:val="Footer"/>
            <w:tabs>
              <w:tab w:val="clear" w:pos="8640"/>
              <w:tab w:val="right" w:pos="9360"/>
            </w:tabs>
            <w:rPr>
              <w:rFonts w:ascii="Shruti" w:hAnsi="Shruti"/>
              <w:sz w:val="22"/>
            </w:rPr>
          </w:pPr>
          <w:r>
            <w:rPr>
              <w:rFonts w:ascii="Shruti" w:hAnsi="Shruti"/>
              <w:sz w:val="22"/>
            </w:rPr>
            <w:t>87R 19735</w:t>
          </w:r>
        </w:p>
      </w:tc>
      <w:tc>
        <w:tcPr>
          <w:tcW w:w="2453" w:type="pct"/>
        </w:tcPr>
        <w:p w14:paraId="0EACB4DF" w14:textId="46E32020" w:rsidR="00EC379B" w:rsidRDefault="009D19CE" w:rsidP="009C1E9A">
          <w:pPr>
            <w:pStyle w:val="Footer"/>
            <w:tabs>
              <w:tab w:val="clear" w:pos="8640"/>
              <w:tab w:val="right" w:pos="9360"/>
            </w:tabs>
            <w:jc w:val="right"/>
          </w:pPr>
          <w:r>
            <w:fldChar w:fldCharType="begin"/>
          </w:r>
          <w:r>
            <w:instrText xml:space="preserve"> DOCPROPERTY  OTID  \* MERGEFORMAT </w:instrText>
          </w:r>
          <w:r>
            <w:fldChar w:fldCharType="separate"/>
          </w:r>
          <w:r w:rsidR="00F174C7">
            <w:t>21.104.1675</w:t>
          </w:r>
          <w:r>
            <w:fldChar w:fldCharType="end"/>
          </w:r>
        </w:p>
      </w:tc>
    </w:tr>
    <w:tr w:rsidR="00313FA1" w14:paraId="0680B475" w14:textId="77777777" w:rsidTr="009C1E9A">
      <w:trPr>
        <w:cantSplit/>
      </w:trPr>
      <w:tc>
        <w:tcPr>
          <w:tcW w:w="0" w:type="pct"/>
        </w:tcPr>
        <w:p w14:paraId="2636628F" w14:textId="77777777" w:rsidR="00EC379B" w:rsidRDefault="00EC379B" w:rsidP="009C1E9A">
          <w:pPr>
            <w:pStyle w:val="Footer"/>
            <w:tabs>
              <w:tab w:val="clear" w:pos="4320"/>
              <w:tab w:val="clear" w:pos="8640"/>
              <w:tab w:val="left" w:pos="2865"/>
            </w:tabs>
          </w:pPr>
        </w:p>
      </w:tc>
      <w:tc>
        <w:tcPr>
          <w:tcW w:w="2395" w:type="pct"/>
        </w:tcPr>
        <w:p w14:paraId="0F6FC43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DC66723" w14:textId="77777777" w:rsidR="00EC379B" w:rsidRDefault="00EC379B" w:rsidP="006D504F">
          <w:pPr>
            <w:pStyle w:val="Footer"/>
            <w:rPr>
              <w:rStyle w:val="PageNumber"/>
            </w:rPr>
          </w:pPr>
        </w:p>
        <w:p w14:paraId="4F6F93AA" w14:textId="77777777" w:rsidR="00EC379B" w:rsidRDefault="00EC379B" w:rsidP="009C1E9A">
          <w:pPr>
            <w:pStyle w:val="Footer"/>
            <w:tabs>
              <w:tab w:val="clear" w:pos="8640"/>
              <w:tab w:val="right" w:pos="9360"/>
            </w:tabs>
            <w:jc w:val="right"/>
          </w:pPr>
        </w:p>
      </w:tc>
    </w:tr>
    <w:tr w:rsidR="00313FA1" w14:paraId="7221B7F5" w14:textId="77777777" w:rsidTr="009C1E9A">
      <w:trPr>
        <w:cantSplit/>
        <w:trHeight w:val="323"/>
      </w:trPr>
      <w:tc>
        <w:tcPr>
          <w:tcW w:w="0" w:type="pct"/>
          <w:gridSpan w:val="3"/>
        </w:tcPr>
        <w:p w14:paraId="12979BDD" w14:textId="2ACEBD8D" w:rsidR="00EC379B" w:rsidRDefault="009D19C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7276E">
            <w:rPr>
              <w:rStyle w:val="PageNumber"/>
              <w:noProof/>
            </w:rPr>
            <w:t>1</w:t>
          </w:r>
          <w:r>
            <w:rPr>
              <w:rStyle w:val="PageNumber"/>
            </w:rPr>
            <w:fldChar w:fldCharType="end"/>
          </w:r>
        </w:p>
        <w:p w14:paraId="5D4318F8" w14:textId="77777777" w:rsidR="00EC379B" w:rsidRDefault="00EC379B" w:rsidP="009C1E9A">
          <w:pPr>
            <w:pStyle w:val="Footer"/>
            <w:tabs>
              <w:tab w:val="clear" w:pos="8640"/>
              <w:tab w:val="right" w:pos="9360"/>
            </w:tabs>
            <w:jc w:val="center"/>
          </w:pPr>
        </w:p>
      </w:tc>
    </w:tr>
  </w:tbl>
  <w:p w14:paraId="129B385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EB6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B9278" w14:textId="77777777" w:rsidR="00000000" w:rsidRDefault="009D19CE">
      <w:r>
        <w:separator/>
      </w:r>
    </w:p>
  </w:footnote>
  <w:footnote w:type="continuationSeparator" w:id="0">
    <w:p w14:paraId="20B4704F" w14:textId="77777777" w:rsidR="00000000" w:rsidRDefault="009D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52E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5CD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E46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133F9"/>
    <w:multiLevelType w:val="hybridMultilevel"/>
    <w:tmpl w:val="1E38A04E"/>
    <w:lvl w:ilvl="0" w:tplc="3362B004">
      <w:start w:val="1"/>
      <w:numFmt w:val="bullet"/>
      <w:lvlText w:val=""/>
      <w:lvlJc w:val="left"/>
      <w:pPr>
        <w:tabs>
          <w:tab w:val="num" w:pos="720"/>
        </w:tabs>
        <w:ind w:left="720" w:hanging="360"/>
      </w:pPr>
      <w:rPr>
        <w:rFonts w:ascii="Symbol" w:hAnsi="Symbol" w:hint="default"/>
      </w:rPr>
    </w:lvl>
    <w:lvl w:ilvl="1" w:tplc="FACAA23A">
      <w:start w:val="1"/>
      <w:numFmt w:val="bullet"/>
      <w:lvlText w:val="o"/>
      <w:lvlJc w:val="left"/>
      <w:pPr>
        <w:ind w:left="1440" w:hanging="360"/>
      </w:pPr>
      <w:rPr>
        <w:rFonts w:ascii="Courier New" w:hAnsi="Courier New" w:cs="Courier New" w:hint="default"/>
      </w:rPr>
    </w:lvl>
    <w:lvl w:ilvl="2" w:tplc="013C94CC" w:tentative="1">
      <w:start w:val="1"/>
      <w:numFmt w:val="bullet"/>
      <w:lvlText w:val=""/>
      <w:lvlJc w:val="left"/>
      <w:pPr>
        <w:ind w:left="2160" w:hanging="360"/>
      </w:pPr>
      <w:rPr>
        <w:rFonts w:ascii="Wingdings" w:hAnsi="Wingdings" w:hint="default"/>
      </w:rPr>
    </w:lvl>
    <w:lvl w:ilvl="3" w:tplc="BB46FB52" w:tentative="1">
      <w:start w:val="1"/>
      <w:numFmt w:val="bullet"/>
      <w:lvlText w:val=""/>
      <w:lvlJc w:val="left"/>
      <w:pPr>
        <w:ind w:left="2880" w:hanging="360"/>
      </w:pPr>
      <w:rPr>
        <w:rFonts w:ascii="Symbol" w:hAnsi="Symbol" w:hint="default"/>
      </w:rPr>
    </w:lvl>
    <w:lvl w:ilvl="4" w:tplc="0FE4202E" w:tentative="1">
      <w:start w:val="1"/>
      <w:numFmt w:val="bullet"/>
      <w:lvlText w:val="o"/>
      <w:lvlJc w:val="left"/>
      <w:pPr>
        <w:ind w:left="3600" w:hanging="360"/>
      </w:pPr>
      <w:rPr>
        <w:rFonts w:ascii="Courier New" w:hAnsi="Courier New" w:cs="Courier New" w:hint="default"/>
      </w:rPr>
    </w:lvl>
    <w:lvl w:ilvl="5" w:tplc="0C8A44D8" w:tentative="1">
      <w:start w:val="1"/>
      <w:numFmt w:val="bullet"/>
      <w:lvlText w:val=""/>
      <w:lvlJc w:val="left"/>
      <w:pPr>
        <w:ind w:left="4320" w:hanging="360"/>
      </w:pPr>
      <w:rPr>
        <w:rFonts w:ascii="Wingdings" w:hAnsi="Wingdings" w:hint="default"/>
      </w:rPr>
    </w:lvl>
    <w:lvl w:ilvl="6" w:tplc="6EB47F12" w:tentative="1">
      <w:start w:val="1"/>
      <w:numFmt w:val="bullet"/>
      <w:lvlText w:val=""/>
      <w:lvlJc w:val="left"/>
      <w:pPr>
        <w:ind w:left="5040" w:hanging="360"/>
      </w:pPr>
      <w:rPr>
        <w:rFonts w:ascii="Symbol" w:hAnsi="Symbol" w:hint="default"/>
      </w:rPr>
    </w:lvl>
    <w:lvl w:ilvl="7" w:tplc="763C8156" w:tentative="1">
      <w:start w:val="1"/>
      <w:numFmt w:val="bullet"/>
      <w:lvlText w:val="o"/>
      <w:lvlJc w:val="left"/>
      <w:pPr>
        <w:ind w:left="5760" w:hanging="360"/>
      </w:pPr>
      <w:rPr>
        <w:rFonts w:ascii="Courier New" w:hAnsi="Courier New" w:cs="Courier New" w:hint="default"/>
      </w:rPr>
    </w:lvl>
    <w:lvl w:ilvl="8" w:tplc="2FF2D76A" w:tentative="1">
      <w:start w:val="1"/>
      <w:numFmt w:val="bullet"/>
      <w:lvlText w:val=""/>
      <w:lvlJc w:val="left"/>
      <w:pPr>
        <w:ind w:left="6480" w:hanging="360"/>
      </w:pPr>
      <w:rPr>
        <w:rFonts w:ascii="Wingdings" w:hAnsi="Wingdings" w:hint="default"/>
      </w:rPr>
    </w:lvl>
  </w:abstractNum>
  <w:abstractNum w:abstractNumId="1" w15:restartNumberingAfterBreak="0">
    <w:nsid w:val="6EAC1A3E"/>
    <w:multiLevelType w:val="hybridMultilevel"/>
    <w:tmpl w:val="E4EA6E16"/>
    <w:lvl w:ilvl="0" w:tplc="04EABCCC">
      <w:start w:val="1"/>
      <w:numFmt w:val="bullet"/>
      <w:lvlText w:val=""/>
      <w:lvlJc w:val="left"/>
      <w:pPr>
        <w:tabs>
          <w:tab w:val="num" w:pos="720"/>
        </w:tabs>
        <w:ind w:left="720" w:hanging="360"/>
      </w:pPr>
      <w:rPr>
        <w:rFonts w:ascii="Symbol" w:hAnsi="Symbol" w:hint="default"/>
      </w:rPr>
    </w:lvl>
    <w:lvl w:ilvl="1" w:tplc="5EBEF198" w:tentative="1">
      <w:start w:val="1"/>
      <w:numFmt w:val="bullet"/>
      <w:lvlText w:val="o"/>
      <w:lvlJc w:val="left"/>
      <w:pPr>
        <w:ind w:left="1440" w:hanging="360"/>
      </w:pPr>
      <w:rPr>
        <w:rFonts w:ascii="Courier New" w:hAnsi="Courier New" w:cs="Courier New" w:hint="default"/>
      </w:rPr>
    </w:lvl>
    <w:lvl w:ilvl="2" w:tplc="1F4CF84A" w:tentative="1">
      <w:start w:val="1"/>
      <w:numFmt w:val="bullet"/>
      <w:lvlText w:val=""/>
      <w:lvlJc w:val="left"/>
      <w:pPr>
        <w:ind w:left="2160" w:hanging="360"/>
      </w:pPr>
      <w:rPr>
        <w:rFonts w:ascii="Wingdings" w:hAnsi="Wingdings" w:hint="default"/>
      </w:rPr>
    </w:lvl>
    <w:lvl w:ilvl="3" w:tplc="EA50898E" w:tentative="1">
      <w:start w:val="1"/>
      <w:numFmt w:val="bullet"/>
      <w:lvlText w:val=""/>
      <w:lvlJc w:val="left"/>
      <w:pPr>
        <w:ind w:left="2880" w:hanging="360"/>
      </w:pPr>
      <w:rPr>
        <w:rFonts w:ascii="Symbol" w:hAnsi="Symbol" w:hint="default"/>
      </w:rPr>
    </w:lvl>
    <w:lvl w:ilvl="4" w:tplc="7C7ADFB4" w:tentative="1">
      <w:start w:val="1"/>
      <w:numFmt w:val="bullet"/>
      <w:lvlText w:val="o"/>
      <w:lvlJc w:val="left"/>
      <w:pPr>
        <w:ind w:left="3600" w:hanging="360"/>
      </w:pPr>
      <w:rPr>
        <w:rFonts w:ascii="Courier New" w:hAnsi="Courier New" w:cs="Courier New" w:hint="default"/>
      </w:rPr>
    </w:lvl>
    <w:lvl w:ilvl="5" w:tplc="7FBE218A" w:tentative="1">
      <w:start w:val="1"/>
      <w:numFmt w:val="bullet"/>
      <w:lvlText w:val=""/>
      <w:lvlJc w:val="left"/>
      <w:pPr>
        <w:ind w:left="4320" w:hanging="360"/>
      </w:pPr>
      <w:rPr>
        <w:rFonts w:ascii="Wingdings" w:hAnsi="Wingdings" w:hint="default"/>
      </w:rPr>
    </w:lvl>
    <w:lvl w:ilvl="6" w:tplc="029A46C6" w:tentative="1">
      <w:start w:val="1"/>
      <w:numFmt w:val="bullet"/>
      <w:lvlText w:val=""/>
      <w:lvlJc w:val="left"/>
      <w:pPr>
        <w:ind w:left="5040" w:hanging="360"/>
      </w:pPr>
      <w:rPr>
        <w:rFonts w:ascii="Symbol" w:hAnsi="Symbol" w:hint="default"/>
      </w:rPr>
    </w:lvl>
    <w:lvl w:ilvl="7" w:tplc="8A64A6D2" w:tentative="1">
      <w:start w:val="1"/>
      <w:numFmt w:val="bullet"/>
      <w:lvlText w:val="o"/>
      <w:lvlJc w:val="left"/>
      <w:pPr>
        <w:ind w:left="5760" w:hanging="360"/>
      </w:pPr>
      <w:rPr>
        <w:rFonts w:ascii="Courier New" w:hAnsi="Courier New" w:cs="Courier New" w:hint="default"/>
      </w:rPr>
    </w:lvl>
    <w:lvl w:ilvl="8" w:tplc="357E82A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9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2D6"/>
    <w:rsid w:val="00092ABC"/>
    <w:rsid w:val="00097AAF"/>
    <w:rsid w:val="00097D13"/>
    <w:rsid w:val="000A4893"/>
    <w:rsid w:val="000A54E0"/>
    <w:rsid w:val="000A72C4"/>
    <w:rsid w:val="000B1486"/>
    <w:rsid w:val="000B3E61"/>
    <w:rsid w:val="000B54AF"/>
    <w:rsid w:val="000B6090"/>
    <w:rsid w:val="000B6FEE"/>
    <w:rsid w:val="000B7AFD"/>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02B9"/>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434"/>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6BBC"/>
    <w:rsid w:val="002B76AD"/>
    <w:rsid w:val="002B7BA7"/>
    <w:rsid w:val="002C1C17"/>
    <w:rsid w:val="002C2C9F"/>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3FA1"/>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50BC"/>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6FD8"/>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03F"/>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784C"/>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3FD9"/>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400"/>
    <w:rsid w:val="009C36CD"/>
    <w:rsid w:val="009C43A5"/>
    <w:rsid w:val="009C5A1D"/>
    <w:rsid w:val="009C6B08"/>
    <w:rsid w:val="009C70FC"/>
    <w:rsid w:val="009D002B"/>
    <w:rsid w:val="009D19CE"/>
    <w:rsid w:val="009D37C7"/>
    <w:rsid w:val="009D4BBD"/>
    <w:rsid w:val="009D5A41"/>
    <w:rsid w:val="009E0788"/>
    <w:rsid w:val="009E13BF"/>
    <w:rsid w:val="009E1482"/>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276E"/>
    <w:rsid w:val="00A803CF"/>
    <w:rsid w:val="00A8133F"/>
    <w:rsid w:val="00A82CB4"/>
    <w:rsid w:val="00A837A8"/>
    <w:rsid w:val="00A83C36"/>
    <w:rsid w:val="00A932BB"/>
    <w:rsid w:val="00A93579"/>
    <w:rsid w:val="00A93934"/>
    <w:rsid w:val="00A95D51"/>
    <w:rsid w:val="00A96604"/>
    <w:rsid w:val="00AA18AE"/>
    <w:rsid w:val="00AA228B"/>
    <w:rsid w:val="00AA597A"/>
    <w:rsid w:val="00AA7E52"/>
    <w:rsid w:val="00AB1655"/>
    <w:rsid w:val="00AB1873"/>
    <w:rsid w:val="00AB2376"/>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5B7A"/>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1856"/>
    <w:rsid w:val="00BA32EE"/>
    <w:rsid w:val="00BB5B36"/>
    <w:rsid w:val="00BC027B"/>
    <w:rsid w:val="00BC30A6"/>
    <w:rsid w:val="00BC3ED3"/>
    <w:rsid w:val="00BC3EF6"/>
    <w:rsid w:val="00BC4E34"/>
    <w:rsid w:val="00BC51D0"/>
    <w:rsid w:val="00BC58E1"/>
    <w:rsid w:val="00BC59CA"/>
    <w:rsid w:val="00BC6462"/>
    <w:rsid w:val="00BD0A32"/>
    <w:rsid w:val="00BD1B72"/>
    <w:rsid w:val="00BD4E55"/>
    <w:rsid w:val="00BD513B"/>
    <w:rsid w:val="00BD5E52"/>
    <w:rsid w:val="00BE00CD"/>
    <w:rsid w:val="00BE0E75"/>
    <w:rsid w:val="00BE1789"/>
    <w:rsid w:val="00BE31C9"/>
    <w:rsid w:val="00BE3634"/>
    <w:rsid w:val="00BE3E30"/>
    <w:rsid w:val="00BE5274"/>
    <w:rsid w:val="00BE71CD"/>
    <w:rsid w:val="00BE7748"/>
    <w:rsid w:val="00BE7BDA"/>
    <w:rsid w:val="00BF0548"/>
    <w:rsid w:val="00BF4949"/>
    <w:rsid w:val="00BF4D7C"/>
    <w:rsid w:val="00BF5085"/>
    <w:rsid w:val="00C013F4"/>
    <w:rsid w:val="00C0163F"/>
    <w:rsid w:val="00C040AB"/>
    <w:rsid w:val="00C0499B"/>
    <w:rsid w:val="00C05406"/>
    <w:rsid w:val="00C05CF0"/>
    <w:rsid w:val="00C119AC"/>
    <w:rsid w:val="00C14694"/>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2FB0"/>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7280"/>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502"/>
    <w:rsid w:val="00CE08E8"/>
    <w:rsid w:val="00CE20E9"/>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6889"/>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FF2"/>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AE9"/>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4C7"/>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75C91F-B4E5-4811-A922-8825973B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E6FD8"/>
    <w:rPr>
      <w:sz w:val="16"/>
      <w:szCs w:val="16"/>
    </w:rPr>
  </w:style>
  <w:style w:type="paragraph" w:styleId="CommentText">
    <w:name w:val="annotation text"/>
    <w:basedOn w:val="Normal"/>
    <w:link w:val="CommentTextChar"/>
    <w:semiHidden/>
    <w:unhideWhenUsed/>
    <w:rsid w:val="004E6FD8"/>
    <w:rPr>
      <w:sz w:val="20"/>
      <w:szCs w:val="20"/>
    </w:rPr>
  </w:style>
  <w:style w:type="character" w:customStyle="1" w:styleId="CommentTextChar">
    <w:name w:val="Comment Text Char"/>
    <w:basedOn w:val="DefaultParagraphFont"/>
    <w:link w:val="CommentText"/>
    <w:semiHidden/>
    <w:rsid w:val="004E6FD8"/>
  </w:style>
  <w:style w:type="paragraph" w:styleId="CommentSubject">
    <w:name w:val="annotation subject"/>
    <w:basedOn w:val="CommentText"/>
    <w:next w:val="CommentText"/>
    <w:link w:val="CommentSubjectChar"/>
    <w:semiHidden/>
    <w:unhideWhenUsed/>
    <w:rsid w:val="004E6FD8"/>
    <w:rPr>
      <w:b/>
      <w:bCs/>
    </w:rPr>
  </w:style>
  <w:style w:type="character" w:customStyle="1" w:styleId="CommentSubjectChar">
    <w:name w:val="Comment Subject Char"/>
    <w:basedOn w:val="CommentTextChar"/>
    <w:link w:val="CommentSubject"/>
    <w:semiHidden/>
    <w:rsid w:val="004E6FD8"/>
    <w:rPr>
      <w:b/>
      <w:bCs/>
    </w:rPr>
  </w:style>
  <w:style w:type="paragraph" w:styleId="Revision">
    <w:name w:val="Revision"/>
    <w:hidden/>
    <w:uiPriority w:val="99"/>
    <w:semiHidden/>
    <w:rsid w:val="004E6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2831</Characters>
  <Application>Microsoft Office Word</Application>
  <DocSecurity>4</DocSecurity>
  <Lines>68</Lines>
  <Paragraphs>23</Paragraphs>
  <ScaleCrop>false</ScaleCrop>
  <HeadingPairs>
    <vt:vector size="2" baseType="variant">
      <vt:variant>
        <vt:lpstr>Title</vt:lpstr>
      </vt:variant>
      <vt:variant>
        <vt:i4>1</vt:i4>
      </vt:variant>
    </vt:vector>
  </HeadingPairs>
  <TitlesOfParts>
    <vt:vector size="1" baseType="lpstr">
      <vt:lpstr>BA - HB03769 (Committee Report (Unamended))</vt:lpstr>
    </vt:vector>
  </TitlesOfParts>
  <Company>State of Texas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19735</dc:subject>
  <dc:creator>State of Texas</dc:creator>
  <dc:description>HB 3769 by Smithee-(H)Insurance</dc:description>
  <cp:lastModifiedBy>Lauren Bustamente</cp:lastModifiedBy>
  <cp:revision>2</cp:revision>
  <cp:lastPrinted>2003-11-26T17:21:00Z</cp:lastPrinted>
  <dcterms:created xsi:type="dcterms:W3CDTF">2021-04-15T20:53:00Z</dcterms:created>
  <dcterms:modified xsi:type="dcterms:W3CDTF">2021-04-15T20:53:00Z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21.104.1675</vt:lpwstr>
  </property>
</Properties>
</file>