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1D7D" w14:paraId="0F9DA51C" w14:textId="77777777" w:rsidTr="00345119">
        <w:tc>
          <w:tcPr>
            <w:tcW w:w="9576" w:type="dxa"/>
            <w:noWrap/>
          </w:tcPr>
          <w:p w14:paraId="0F461B9A" w14:textId="77777777" w:rsidR="008423E4" w:rsidRPr="0022177D" w:rsidRDefault="003F1FF8" w:rsidP="00DD358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DD3E58F" w14:textId="77777777" w:rsidR="008423E4" w:rsidRPr="00F71D5B" w:rsidRDefault="008423E4" w:rsidP="00DD358A">
      <w:pPr>
        <w:jc w:val="center"/>
        <w:rPr>
          <w:sz w:val="20"/>
        </w:rPr>
      </w:pPr>
    </w:p>
    <w:p w14:paraId="351A763E" w14:textId="77777777" w:rsidR="008423E4" w:rsidRPr="00F71D5B" w:rsidRDefault="008423E4" w:rsidP="00DD358A">
      <w:pPr>
        <w:rPr>
          <w:sz w:val="20"/>
        </w:rPr>
      </w:pPr>
    </w:p>
    <w:p w14:paraId="5336F373" w14:textId="77777777" w:rsidR="008423E4" w:rsidRPr="00F71D5B" w:rsidRDefault="008423E4" w:rsidP="00DD358A">
      <w:pPr>
        <w:tabs>
          <w:tab w:val="right" w:pos="9360"/>
        </w:tabs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1D7D" w14:paraId="246AC0A7" w14:textId="77777777" w:rsidTr="00345119">
        <w:tc>
          <w:tcPr>
            <w:tcW w:w="9576" w:type="dxa"/>
          </w:tcPr>
          <w:p w14:paraId="7E267530" w14:textId="6C7B5C11" w:rsidR="008423E4" w:rsidRPr="00861995" w:rsidRDefault="003F1FF8" w:rsidP="00DD358A">
            <w:pPr>
              <w:jc w:val="right"/>
            </w:pPr>
            <w:r>
              <w:t>H.B. 3794</w:t>
            </w:r>
          </w:p>
        </w:tc>
      </w:tr>
      <w:tr w:rsidR="00AE1D7D" w14:paraId="3D4EFCEF" w14:textId="77777777" w:rsidTr="00345119">
        <w:tc>
          <w:tcPr>
            <w:tcW w:w="9576" w:type="dxa"/>
          </w:tcPr>
          <w:p w14:paraId="2E6D9738" w14:textId="7267CE09" w:rsidR="008423E4" w:rsidRPr="00861995" w:rsidRDefault="003F1FF8" w:rsidP="00DD358A">
            <w:pPr>
              <w:jc w:val="right"/>
            </w:pPr>
            <w:r>
              <w:t xml:space="preserve">By: </w:t>
            </w:r>
            <w:r w:rsidR="009E0A7E">
              <w:t>Geren</w:t>
            </w:r>
          </w:p>
        </w:tc>
      </w:tr>
      <w:tr w:rsidR="00AE1D7D" w14:paraId="2DE614FF" w14:textId="77777777" w:rsidTr="00345119">
        <w:tc>
          <w:tcPr>
            <w:tcW w:w="9576" w:type="dxa"/>
          </w:tcPr>
          <w:p w14:paraId="1A4A4281" w14:textId="48CD7727" w:rsidR="008423E4" w:rsidRPr="00861995" w:rsidRDefault="003F1FF8" w:rsidP="00DD358A">
            <w:pPr>
              <w:jc w:val="right"/>
            </w:pPr>
            <w:r>
              <w:t>Energy Resources</w:t>
            </w:r>
          </w:p>
        </w:tc>
      </w:tr>
      <w:tr w:rsidR="00AE1D7D" w14:paraId="638C9CF5" w14:textId="77777777" w:rsidTr="00345119">
        <w:tc>
          <w:tcPr>
            <w:tcW w:w="9576" w:type="dxa"/>
          </w:tcPr>
          <w:p w14:paraId="6EC05513" w14:textId="771531FC" w:rsidR="008423E4" w:rsidRDefault="003F1FF8" w:rsidP="00DD358A">
            <w:pPr>
              <w:jc w:val="right"/>
            </w:pPr>
            <w:r>
              <w:t>Committee Report (Unamended)</w:t>
            </w:r>
          </w:p>
        </w:tc>
      </w:tr>
    </w:tbl>
    <w:p w14:paraId="246E41F1" w14:textId="77777777" w:rsidR="008423E4" w:rsidRPr="00F71D5B" w:rsidRDefault="008423E4" w:rsidP="00DD358A">
      <w:pPr>
        <w:tabs>
          <w:tab w:val="right" w:pos="9360"/>
        </w:tabs>
        <w:rPr>
          <w:sz w:val="20"/>
        </w:rPr>
      </w:pPr>
    </w:p>
    <w:p w14:paraId="34E47359" w14:textId="77777777" w:rsidR="008423E4" w:rsidRPr="00F71D5B" w:rsidRDefault="008423E4" w:rsidP="00DD358A">
      <w:pPr>
        <w:rPr>
          <w:sz w:val="20"/>
        </w:rPr>
      </w:pPr>
    </w:p>
    <w:p w14:paraId="3B29EB09" w14:textId="77777777" w:rsidR="008423E4" w:rsidRPr="00F71D5B" w:rsidRDefault="008423E4" w:rsidP="00DD358A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1D7D" w14:paraId="4FEBC1F8" w14:textId="77777777" w:rsidTr="00345119">
        <w:tc>
          <w:tcPr>
            <w:tcW w:w="9576" w:type="dxa"/>
          </w:tcPr>
          <w:p w14:paraId="522A799B" w14:textId="77777777" w:rsidR="008423E4" w:rsidRPr="00A8133F" w:rsidRDefault="003F1FF8" w:rsidP="00DD358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881822" w14:textId="77777777" w:rsidR="008423E4" w:rsidRPr="00F71D5B" w:rsidRDefault="008423E4" w:rsidP="00DD358A">
            <w:pPr>
              <w:rPr>
                <w:sz w:val="20"/>
              </w:rPr>
            </w:pPr>
          </w:p>
          <w:p w14:paraId="731435EA" w14:textId="63F75D72" w:rsidR="004C521A" w:rsidRDefault="003F1FF8" w:rsidP="00DD3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4C521A">
              <w:t xml:space="preserve"> recent court </w:t>
            </w:r>
            <w:r w:rsidR="00F90F9E">
              <w:t>case,</w:t>
            </w:r>
            <w:r>
              <w:t xml:space="preserve"> </w:t>
            </w:r>
            <w:r w:rsidRPr="00617E31">
              <w:rPr>
                <w:i/>
              </w:rPr>
              <w:t>In re First River Energy</w:t>
            </w:r>
            <w:r w:rsidR="006412A1">
              <w:rPr>
                <w:i/>
              </w:rPr>
              <w:t>,</w:t>
            </w:r>
            <w:r w:rsidRPr="00617E31">
              <w:rPr>
                <w:i/>
              </w:rPr>
              <w:t xml:space="preserve"> LLC</w:t>
            </w:r>
            <w:r w:rsidR="00F90F9E" w:rsidRPr="00617E31">
              <w:t>,</w:t>
            </w:r>
            <w:r w:rsidRPr="00F90F9E">
              <w:t xml:space="preserve"> </w:t>
            </w:r>
            <w:r w:rsidR="00F90F9E">
              <w:t>resulted in a decision</w:t>
            </w:r>
            <w:r>
              <w:t xml:space="preserve"> unfavorable to Texas oil and gas interest owners because the court </w:t>
            </w:r>
            <w:r w:rsidRPr="004C521A">
              <w:t>found that the jurisdiction where the first purchaser, as debtor, is located, rather than where the oil and gas, as collateral, is produced, governs the applicable Uniform Commercial Code</w:t>
            </w:r>
            <w:r>
              <w:t>.</w:t>
            </w:r>
            <w:r>
              <w:t xml:space="preserve"> </w:t>
            </w:r>
            <w:r w:rsidR="006412A1">
              <w:t xml:space="preserve">Because </w:t>
            </w:r>
            <w:r w:rsidR="00F90F9E">
              <w:t>Texas law commonly known as the f</w:t>
            </w:r>
            <w:r w:rsidR="00F96006">
              <w:t>irst purchaser statute establishes these owners' security interests under</w:t>
            </w:r>
            <w:r w:rsidR="00F90F9E">
              <w:t xml:space="preserve"> the state's Uniform Commercial Code, </w:t>
            </w:r>
            <w:r w:rsidRPr="006412A1">
              <w:t>Texas interest owners c</w:t>
            </w:r>
            <w:r w:rsidR="007E0F96" w:rsidRPr="006412A1">
              <w:t>an</w:t>
            </w:r>
            <w:r w:rsidRPr="006412A1">
              <w:t xml:space="preserve">not take advantage of </w:t>
            </w:r>
            <w:r w:rsidR="00F90F9E" w:rsidRPr="006412A1">
              <w:t>nonstandard</w:t>
            </w:r>
            <w:r w:rsidRPr="006412A1">
              <w:t xml:space="preserve"> </w:t>
            </w:r>
            <w:r w:rsidR="00D017BC" w:rsidRPr="006412A1">
              <w:t xml:space="preserve">Texas </w:t>
            </w:r>
            <w:r w:rsidRPr="006412A1">
              <w:t>provision</w:t>
            </w:r>
            <w:r w:rsidR="00D017BC" w:rsidRPr="006412A1">
              <w:t>s</w:t>
            </w:r>
            <w:r w:rsidRPr="006412A1">
              <w:t xml:space="preserve"> when the debtor is organize</w:t>
            </w:r>
            <w:r w:rsidRPr="006412A1">
              <w:t xml:space="preserve">d outside </w:t>
            </w:r>
            <w:r w:rsidR="006412A1" w:rsidRPr="00DD358A">
              <w:t xml:space="preserve">of </w:t>
            </w:r>
            <w:r w:rsidRPr="006412A1">
              <w:t>Texas.</w:t>
            </w:r>
            <w:r w:rsidR="008674DF">
              <w:t xml:space="preserve"> </w:t>
            </w:r>
            <w:r w:rsidR="007A3701">
              <w:t>There are concerns</w:t>
            </w:r>
            <w:r w:rsidR="008674DF">
              <w:t xml:space="preserve"> that</w:t>
            </w:r>
            <w:r w:rsidR="00867242">
              <w:t xml:space="preserve">, unless the </w:t>
            </w:r>
            <w:r w:rsidR="00867242" w:rsidRPr="006412A1">
              <w:t>first purchaser</w:t>
            </w:r>
            <w:r w:rsidR="00867242">
              <w:t xml:space="preserve"> statute is amended,</w:t>
            </w:r>
            <w:r w:rsidR="008674DF">
              <w:t xml:space="preserve"> </w:t>
            </w:r>
            <w:r w:rsidR="007A3701">
              <w:t xml:space="preserve">the security interests of </w:t>
            </w:r>
            <w:r w:rsidRPr="004C521A">
              <w:t xml:space="preserve">Texas </w:t>
            </w:r>
            <w:r w:rsidR="007A3701">
              <w:t xml:space="preserve">oil and gas </w:t>
            </w:r>
            <w:r w:rsidRPr="004C521A">
              <w:t xml:space="preserve">interest owners </w:t>
            </w:r>
            <w:r w:rsidR="007A3701">
              <w:t>are</w:t>
            </w:r>
            <w:r w:rsidR="007A3701" w:rsidRPr="004C521A">
              <w:t xml:space="preserve"> </w:t>
            </w:r>
            <w:r w:rsidRPr="004C521A">
              <w:t xml:space="preserve">likely </w:t>
            </w:r>
            <w:r w:rsidR="007A3701">
              <w:t xml:space="preserve">to </w:t>
            </w:r>
            <w:r w:rsidRPr="004C521A">
              <w:t xml:space="preserve">continue to be </w:t>
            </w:r>
            <w:r w:rsidR="007A3701">
              <w:t xml:space="preserve">interpreted as </w:t>
            </w:r>
            <w:r w:rsidRPr="004C521A">
              <w:t xml:space="preserve">unsecured and subordinate to other perfected security interests in cases where the first purchaser is organized or incorporated </w:t>
            </w:r>
            <w:r w:rsidR="00867242">
              <w:t>out of state</w:t>
            </w:r>
            <w:r w:rsidRPr="004C521A">
              <w:t>.</w:t>
            </w:r>
            <w:r w:rsidR="008674DF">
              <w:t xml:space="preserve"> </w:t>
            </w:r>
            <w:r w:rsidRPr="004C521A">
              <w:t>H</w:t>
            </w:r>
            <w:r w:rsidR="008674DF">
              <w:t>.</w:t>
            </w:r>
            <w:r w:rsidRPr="004C521A">
              <w:t>B</w:t>
            </w:r>
            <w:r w:rsidR="008674DF">
              <w:t>.</w:t>
            </w:r>
            <w:r w:rsidRPr="004C521A">
              <w:t xml:space="preserve"> 3794 seeks to</w:t>
            </w:r>
            <w:r w:rsidR="008674DF">
              <w:t xml:space="preserve"> address this issue by repealing </w:t>
            </w:r>
            <w:r w:rsidR="00867242">
              <w:t xml:space="preserve">the present </w:t>
            </w:r>
            <w:r w:rsidR="00867242" w:rsidRPr="006412A1">
              <w:t>first purchaser</w:t>
            </w:r>
            <w:r w:rsidR="00867242">
              <w:t xml:space="preserve"> statute</w:t>
            </w:r>
            <w:r w:rsidR="008674DF">
              <w:t xml:space="preserve"> and </w:t>
            </w:r>
            <w:r w:rsidR="00867242">
              <w:t xml:space="preserve">replacing it </w:t>
            </w:r>
            <w:r w:rsidR="008674DF">
              <w:t>with</w:t>
            </w:r>
            <w:r w:rsidRPr="004C521A">
              <w:t xml:space="preserve"> </w:t>
            </w:r>
            <w:r w:rsidR="007E0F96">
              <w:t xml:space="preserve">Property Code </w:t>
            </w:r>
            <w:r w:rsidR="008674DF" w:rsidRPr="008674DF">
              <w:t xml:space="preserve">provisions establishing oil and gas liens </w:t>
            </w:r>
            <w:r w:rsidR="004B1BDD">
              <w:t xml:space="preserve">based on real property </w:t>
            </w:r>
            <w:r w:rsidR="008674DF" w:rsidRPr="008674DF">
              <w:t xml:space="preserve">for applicable interest owners. </w:t>
            </w:r>
          </w:p>
          <w:p w14:paraId="39C183D8" w14:textId="77777777" w:rsidR="008423E4" w:rsidRPr="00F71D5B" w:rsidRDefault="008423E4" w:rsidP="00DD358A">
            <w:pPr>
              <w:rPr>
                <w:b/>
                <w:sz w:val="20"/>
              </w:rPr>
            </w:pPr>
          </w:p>
        </w:tc>
      </w:tr>
      <w:tr w:rsidR="00AE1D7D" w14:paraId="26805FCC" w14:textId="77777777" w:rsidTr="00345119">
        <w:tc>
          <w:tcPr>
            <w:tcW w:w="9576" w:type="dxa"/>
          </w:tcPr>
          <w:p w14:paraId="227D3265" w14:textId="77777777" w:rsidR="0017725B" w:rsidRDefault="003F1FF8" w:rsidP="00DD35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03045D" w14:textId="77777777" w:rsidR="0017725B" w:rsidRPr="00F71D5B" w:rsidRDefault="0017725B" w:rsidP="00DD358A">
            <w:pPr>
              <w:rPr>
                <w:b/>
                <w:sz w:val="22"/>
                <w:u w:val="single"/>
              </w:rPr>
            </w:pPr>
          </w:p>
          <w:p w14:paraId="546F963D" w14:textId="59F7E3A6" w:rsidR="008377E2" w:rsidRPr="008377E2" w:rsidRDefault="003F1FF8" w:rsidP="00DD358A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DCB9784" w14:textId="77777777" w:rsidR="0017725B" w:rsidRPr="0017725B" w:rsidRDefault="0017725B" w:rsidP="00DD358A">
            <w:pPr>
              <w:rPr>
                <w:b/>
                <w:u w:val="single"/>
              </w:rPr>
            </w:pPr>
          </w:p>
        </w:tc>
      </w:tr>
      <w:tr w:rsidR="00AE1D7D" w14:paraId="48576C25" w14:textId="77777777" w:rsidTr="00345119">
        <w:tc>
          <w:tcPr>
            <w:tcW w:w="9576" w:type="dxa"/>
          </w:tcPr>
          <w:p w14:paraId="25E7DB78" w14:textId="77777777" w:rsidR="008423E4" w:rsidRPr="00A8133F" w:rsidRDefault="003F1FF8" w:rsidP="00DD358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DB5393" w14:textId="77777777" w:rsidR="008423E4" w:rsidRDefault="008423E4" w:rsidP="00DD358A"/>
          <w:p w14:paraId="549672B3" w14:textId="7D713FC7" w:rsidR="008377E2" w:rsidRDefault="003F1FF8" w:rsidP="00DD3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432A49A1" w14:textId="77777777" w:rsidR="008423E4" w:rsidRPr="00E21FDC" w:rsidRDefault="008423E4" w:rsidP="00DD358A">
            <w:pPr>
              <w:rPr>
                <w:b/>
              </w:rPr>
            </w:pPr>
          </w:p>
        </w:tc>
      </w:tr>
      <w:tr w:rsidR="00AE1D7D" w14:paraId="34C4BE34" w14:textId="77777777" w:rsidTr="00345119">
        <w:tc>
          <w:tcPr>
            <w:tcW w:w="9576" w:type="dxa"/>
          </w:tcPr>
          <w:p w14:paraId="5CDCAC4B" w14:textId="77777777" w:rsidR="008423E4" w:rsidRPr="00A8133F" w:rsidRDefault="003F1FF8" w:rsidP="00DD358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CAA5D2" w14:textId="77777777" w:rsidR="008423E4" w:rsidRDefault="008423E4" w:rsidP="00DD358A"/>
          <w:p w14:paraId="31482455" w14:textId="308A023B" w:rsidR="009C36CD" w:rsidRDefault="003F1FF8" w:rsidP="00DD3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3794 repeals </w:t>
            </w:r>
            <w:r w:rsidRPr="00471D7C">
              <w:t>Business &amp; Commerce Code</w:t>
            </w:r>
            <w:r>
              <w:t xml:space="preserve"> provisions</w:t>
            </w:r>
            <w:r w:rsidR="005B7092">
              <w:t>,</w:t>
            </w:r>
            <w:r w:rsidR="0072604C">
              <w:t xml:space="preserve"> sometimes known as the first purchaser statute</w:t>
            </w:r>
            <w:r w:rsidR="00BE3C9A">
              <w:t xml:space="preserve">, which </w:t>
            </w:r>
            <w:r w:rsidR="000E1F51">
              <w:t xml:space="preserve">establish security interests </w:t>
            </w:r>
            <w:r w:rsidR="00B11ED7">
              <w:t xml:space="preserve">for owners of oil and gas interests in a first purchaser's rights to production or its proceeds </w:t>
            </w:r>
            <w:r w:rsidR="000E1F51">
              <w:t>and provide for certain statutory liens under the Uniform Commercial Code.</w:t>
            </w:r>
            <w:r>
              <w:t xml:space="preserve"> </w:t>
            </w:r>
            <w:r w:rsidR="00DD4A1F">
              <w:t xml:space="preserve">The bill replaces the repealed provisions with Property Code provisions establishing oil and gas liens for </w:t>
            </w:r>
            <w:r w:rsidR="00E26968">
              <w:t xml:space="preserve">applicable </w:t>
            </w:r>
            <w:r w:rsidR="00DD4A1F">
              <w:t xml:space="preserve">interest owners. </w:t>
            </w:r>
          </w:p>
          <w:p w14:paraId="37A6AFD0" w14:textId="77777777" w:rsidR="00471D7C" w:rsidRDefault="00471D7C" w:rsidP="00DD3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DF6553" w14:textId="243CBE86" w:rsidR="009E061E" w:rsidRDefault="003F1FF8" w:rsidP="00DD358A">
            <w:pPr>
              <w:pStyle w:val="Header"/>
              <w:jc w:val="both"/>
            </w:pPr>
            <w:r>
              <w:t xml:space="preserve">H.B. 3794 amends the </w:t>
            </w:r>
            <w:r w:rsidRPr="00471D7C">
              <w:t>Property Code</w:t>
            </w:r>
            <w:r>
              <w:t xml:space="preserve"> to </w:t>
            </w:r>
            <w:r w:rsidR="00C551BD">
              <w:t xml:space="preserve">set out provisions relating to oil and gas liens, including applicable definitions. The bill </w:t>
            </w:r>
            <w:r>
              <w:t>establish</w:t>
            </w:r>
            <w:r w:rsidR="00C551BD">
              <w:t>es</w:t>
            </w:r>
            <w:r>
              <w:t xml:space="preserve"> that,</w:t>
            </w:r>
            <w:r w:rsidR="000A7832">
              <w:t xml:space="preserve"> </w:t>
            </w:r>
            <w:r w:rsidRPr="000A7832">
              <w:t>for purposes of securing the obligations of a first p</w:t>
            </w:r>
            <w:r>
              <w:t>ur</w:t>
            </w:r>
            <w:r>
              <w:t>chaser to pay the sales price,</w:t>
            </w:r>
            <w:r w:rsidRPr="00471D7C">
              <w:t xml:space="preserve"> each interest owner has an oil and gas lien to the extent of th</w:t>
            </w:r>
            <w:r w:rsidR="00BB0A03">
              <w:t>at</w:t>
            </w:r>
            <w:r w:rsidRPr="00471D7C">
              <w:t xml:space="preserve"> </w:t>
            </w:r>
            <w:r w:rsidR="00BB0A03">
              <w:t>owner's</w:t>
            </w:r>
            <w:r w:rsidR="000A7832">
              <w:t xml:space="preserve"> interest in</w:t>
            </w:r>
            <w:r w:rsidR="00285C30">
              <w:t xml:space="preserve"> </w:t>
            </w:r>
            <w:r w:rsidR="00285C30" w:rsidRPr="00285C30">
              <w:t>any legal or equitable right, title, or interest in or to oil or gas from land in Texas</w:t>
            </w:r>
            <w:r>
              <w:t>. The lien has the following characteristics:</w:t>
            </w:r>
          </w:p>
          <w:p w14:paraId="19D305B5" w14:textId="77777777" w:rsidR="008E5FDB" w:rsidRDefault="003F1FF8" w:rsidP="00DD358A">
            <w:pPr>
              <w:pStyle w:val="Header"/>
              <w:numPr>
                <w:ilvl w:val="0"/>
                <w:numId w:val="8"/>
              </w:numPr>
              <w:jc w:val="both"/>
            </w:pPr>
            <w:r w:rsidRPr="000A7832">
              <w:t>exists</w:t>
            </w:r>
            <w:r w:rsidRPr="000A7832">
              <w:t xml:space="preserve"> as part of and incident to the ownership of oil and gas rights</w:t>
            </w:r>
            <w:r>
              <w:t>;</w:t>
            </w:r>
          </w:p>
          <w:p w14:paraId="55B68FE8" w14:textId="6D4C0E71" w:rsidR="000A7832" w:rsidRDefault="003F1FF8" w:rsidP="00DD358A">
            <w:pPr>
              <w:pStyle w:val="Header"/>
              <w:numPr>
                <w:ilvl w:val="0"/>
                <w:numId w:val="8"/>
              </w:numPr>
              <w:jc w:val="both"/>
            </w:pPr>
            <w:r>
              <w:t>exists in and attaches to all oil and gas before severance;</w:t>
            </w:r>
          </w:p>
          <w:p w14:paraId="57BB9EFB" w14:textId="389A1FD7" w:rsidR="000A7832" w:rsidRDefault="003F1FF8" w:rsidP="00DD358A">
            <w:pPr>
              <w:pStyle w:val="Header"/>
              <w:numPr>
                <w:ilvl w:val="0"/>
                <w:numId w:val="8"/>
              </w:numPr>
              <w:jc w:val="both"/>
            </w:pPr>
            <w:r>
              <w:t>continues uninterrupted and without lapse in all oil and gas on and after severance;</w:t>
            </w:r>
          </w:p>
          <w:p w14:paraId="53CEEC02" w14:textId="0BC458B2" w:rsidR="00471D7C" w:rsidRDefault="003F1FF8" w:rsidP="00DD358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continues uninterrupted and without lapse in a</w:t>
            </w:r>
            <w:r>
              <w:t>nd to all proceeds from the sale of the oil or gas</w:t>
            </w:r>
            <w:r w:rsidR="00F94DB3">
              <w:t>; and</w:t>
            </w:r>
          </w:p>
          <w:p w14:paraId="08EA3EB9" w14:textId="3998034E" w:rsidR="00806AC2" w:rsidRDefault="003F1FF8" w:rsidP="00DD358A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exists until the </w:t>
            </w:r>
            <w:r w:rsidR="00F94DB3">
              <w:t xml:space="preserve">first entitled </w:t>
            </w:r>
            <w:r>
              <w:t>interest owner or representative has received the sales price for the oil or gas,</w:t>
            </w:r>
            <w:r w:rsidR="00C91C5F">
              <w:t xml:space="preserve"> subject to a certain exception involving an adverse claim. </w:t>
            </w:r>
            <w:r>
              <w:t xml:space="preserve"> </w:t>
            </w:r>
          </w:p>
          <w:p w14:paraId="466E1E2A" w14:textId="5C8C69F6" w:rsidR="00C91C5F" w:rsidRDefault="00C91C5F" w:rsidP="00DD358A">
            <w:pPr>
              <w:pStyle w:val="Header"/>
              <w:jc w:val="both"/>
            </w:pPr>
          </w:p>
          <w:p w14:paraId="751726F3" w14:textId="7CA91C06" w:rsidR="005B7092" w:rsidRDefault="003F1FF8" w:rsidP="00DD358A">
            <w:pPr>
              <w:pStyle w:val="Header"/>
              <w:jc w:val="both"/>
            </w:pPr>
            <w:r>
              <w:t xml:space="preserve">H.B. 3794 establishes </w:t>
            </w:r>
            <w:r>
              <w:t>the following</w:t>
            </w:r>
            <w:r w:rsidR="004336AB">
              <w:t xml:space="preserve"> </w:t>
            </w:r>
            <w:r w:rsidR="00274220">
              <w:t>with regard to the priority and enforceability of an oil and gas lien</w:t>
            </w:r>
            <w:r>
              <w:t>:</w:t>
            </w:r>
          </w:p>
          <w:p w14:paraId="143E4020" w14:textId="77777777" w:rsidR="005B7092" w:rsidRDefault="003F1FF8" w:rsidP="00DD358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</w:t>
            </w:r>
            <w:r w:rsidRPr="00C879E8">
              <w:t xml:space="preserve">n oil and gas lien of an interest owner is perfected automatically without the need to file a financing statement or </w:t>
            </w:r>
            <w:r>
              <w:t>any other type of documentation; and</w:t>
            </w:r>
          </w:p>
          <w:p w14:paraId="332ECB3D" w14:textId="1A7EF12C" w:rsidR="005B7092" w:rsidRDefault="003F1FF8" w:rsidP="00DD358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e</w:t>
            </w:r>
            <w:r w:rsidRPr="00115FA4">
              <w:t>xcept for a per</w:t>
            </w:r>
            <w:r w:rsidRPr="00115FA4">
              <w:t xml:space="preserve">mitted lien, an oil and gas lien takes priority over any other lien, whether arising by contract, law, equity, or otherwise, or </w:t>
            </w:r>
            <w:r w:rsidR="00A44B5D">
              <w:t xml:space="preserve">over </w:t>
            </w:r>
            <w:r w:rsidRPr="00115FA4">
              <w:t>any security interest.</w:t>
            </w:r>
          </w:p>
          <w:p w14:paraId="2537C52B" w14:textId="1FCB6F72" w:rsidR="005B7092" w:rsidRDefault="003F1FF8" w:rsidP="00DD358A">
            <w:pPr>
              <w:pStyle w:val="Header"/>
              <w:jc w:val="both"/>
            </w:pPr>
            <w:r>
              <w:t xml:space="preserve">The bill defines "permitted lien" as </w:t>
            </w:r>
            <w:r w:rsidRPr="006A2E73">
              <w:t xml:space="preserve">a perfected and enforceable lien created by statute or rule of </w:t>
            </w:r>
            <w:r w:rsidRPr="006A2E73">
              <w:t>a governmental agency for storage or transportation charges owed by a first purchaser in relation to oil or gas originally purchased under an agreement to sell</w:t>
            </w:r>
            <w:r w:rsidR="0009029D">
              <w:t>, subject to</w:t>
            </w:r>
            <w:r>
              <w:t xml:space="preserve"> certain exclusions.</w:t>
            </w:r>
          </w:p>
          <w:p w14:paraId="32E90350" w14:textId="77777777" w:rsidR="006A2E73" w:rsidRDefault="006A2E73" w:rsidP="00DD358A">
            <w:pPr>
              <w:pStyle w:val="Header"/>
              <w:jc w:val="both"/>
            </w:pPr>
          </w:p>
          <w:p w14:paraId="1D74E546" w14:textId="17C392B7" w:rsidR="00806AC2" w:rsidRDefault="003F1FF8" w:rsidP="00DD358A">
            <w:pPr>
              <w:pStyle w:val="Header"/>
              <w:jc w:val="both"/>
            </w:pPr>
            <w:r>
              <w:t>H.B. 3794 establishes that a first purchaser takes free of an o</w:t>
            </w:r>
            <w:r>
              <w:t>il and gas lien under the following conditions:</w:t>
            </w:r>
          </w:p>
          <w:p w14:paraId="288C6C66" w14:textId="44E045FB" w:rsidR="00806AC2" w:rsidRDefault="003F1FF8" w:rsidP="00DD358A">
            <w:pPr>
              <w:pStyle w:val="Header"/>
              <w:numPr>
                <w:ilvl w:val="0"/>
                <w:numId w:val="3"/>
              </w:numPr>
              <w:jc w:val="both"/>
            </w:pPr>
            <w:r w:rsidRPr="00806AC2">
              <w:t>the first purchaser</w:t>
            </w:r>
            <w:r>
              <w:t>,</w:t>
            </w:r>
            <w:r w:rsidRPr="00806AC2">
              <w:t xml:space="preserve"> </w:t>
            </w:r>
            <w:r>
              <w:t xml:space="preserve">in good faith, paid the sales price for the oil or gas to an interest owner or representative otherwise apparently entitled to receive </w:t>
            </w:r>
            <w:r w:rsidR="00EA262F">
              <w:t>that</w:t>
            </w:r>
            <w:r>
              <w:t xml:space="preserve"> price; and</w:t>
            </w:r>
          </w:p>
          <w:p w14:paraId="2E2740D9" w14:textId="77777777" w:rsidR="00806AC2" w:rsidRDefault="003F1FF8" w:rsidP="00DD358A">
            <w:pPr>
              <w:pStyle w:val="Header"/>
              <w:numPr>
                <w:ilvl w:val="0"/>
                <w:numId w:val="3"/>
              </w:numPr>
              <w:jc w:val="both"/>
            </w:pPr>
            <w:r w:rsidRPr="00806AC2">
              <w:t xml:space="preserve">the first purchaser </w:t>
            </w:r>
            <w:r>
              <w:t xml:space="preserve">is without </w:t>
            </w:r>
            <w:r>
              <w:t>actual knowledge that the interest owner or representative is not entitled to receive the sales price paid.</w:t>
            </w:r>
          </w:p>
          <w:p w14:paraId="32EF9CB9" w14:textId="1A791259" w:rsidR="00806AC2" w:rsidRDefault="003F1FF8" w:rsidP="00DD358A">
            <w:pPr>
              <w:pStyle w:val="Header"/>
              <w:jc w:val="both"/>
            </w:pPr>
            <w:r>
              <w:t>A</w:t>
            </w:r>
            <w:r w:rsidR="006B54E6">
              <w:t>n oil and gas</w:t>
            </w:r>
            <w:r w:rsidR="00AB3750">
              <w:t xml:space="preserve"> </w:t>
            </w:r>
            <w:r>
              <w:t>lien continues uninterrupted in the proceeds paid to or otherwise due the interest owner or representative</w:t>
            </w:r>
            <w:r w:rsidR="00AB3750">
              <w:t xml:space="preserve"> </w:t>
            </w:r>
            <w:r w:rsidR="00B739ED">
              <w:t>after such</w:t>
            </w:r>
            <w:r w:rsidR="00AB3750">
              <w:t xml:space="preserve"> a good faith purchase</w:t>
            </w:r>
            <w:r>
              <w:t>.</w:t>
            </w:r>
          </w:p>
          <w:p w14:paraId="2D5C4185" w14:textId="77777777" w:rsidR="00C879E8" w:rsidRDefault="00C879E8" w:rsidP="00DD358A">
            <w:pPr>
              <w:pStyle w:val="Header"/>
              <w:jc w:val="both"/>
            </w:pPr>
          </w:p>
          <w:p w14:paraId="5565C307" w14:textId="77777777" w:rsidR="00806AC2" w:rsidRDefault="003F1FF8" w:rsidP="00DD358A">
            <w:pPr>
              <w:pStyle w:val="Header"/>
              <w:jc w:val="both"/>
            </w:pPr>
            <w:r>
              <w:t>H.B. 3794</w:t>
            </w:r>
            <w:r w:rsidR="00115FA4">
              <w:t>, among other provisions,</w:t>
            </w:r>
            <w:r>
              <w:t xml:space="preserve"> sets out provisions relating to the following:</w:t>
            </w:r>
          </w:p>
          <w:p w14:paraId="3BF7B584" w14:textId="2D07927F" w:rsidR="00C879E8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 w:rsidR="004336AB">
              <w:t xml:space="preserve">effect of a </w:t>
            </w:r>
            <w:r>
              <w:t>transfer of oil and gas rights</w:t>
            </w:r>
            <w:r w:rsidR="004336AB">
              <w:t xml:space="preserve"> on an oil and gas lien</w:t>
            </w:r>
            <w:r>
              <w:t>;</w:t>
            </w:r>
          </w:p>
          <w:p w14:paraId="28FB57DB" w14:textId="4CD3D186" w:rsidR="00C879E8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an</w:t>
            </w:r>
            <w:r w:rsidRPr="00C879E8">
              <w:t xml:space="preserve"> oil and gas lien</w:t>
            </w:r>
            <w:r>
              <w:t xml:space="preserve"> </w:t>
            </w:r>
            <w:r w:rsidR="009A1DC9">
              <w:t>in</w:t>
            </w:r>
            <w:r w:rsidR="004336AB">
              <w:t xml:space="preserve"> </w:t>
            </w:r>
            <w:r>
              <w:t xml:space="preserve">a </w:t>
            </w:r>
            <w:r w:rsidRPr="00C879E8">
              <w:t>commingled product</w:t>
            </w:r>
            <w:r>
              <w:t>;</w:t>
            </w:r>
          </w:p>
          <w:p w14:paraId="4D662A4D" w14:textId="4556E3F6" w:rsidR="00115FA4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 w:rsidRPr="00115FA4">
              <w:t>rights of purchasers</w:t>
            </w:r>
            <w:r w:rsidR="006B54E6">
              <w:t xml:space="preserve"> </w:t>
            </w:r>
            <w:r w:rsidR="00264164">
              <w:t>subsequent to</w:t>
            </w:r>
            <w:r w:rsidR="006B54E6">
              <w:t xml:space="preserve"> the first purchaser</w:t>
            </w:r>
            <w:r>
              <w:t>;</w:t>
            </w:r>
          </w:p>
          <w:p w14:paraId="3174363A" w14:textId="62329D0A" w:rsidR="00E46184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clarifications that the bill's provisions do not affect title in specified ways;</w:t>
            </w:r>
          </w:p>
          <w:p w14:paraId="181003F7" w14:textId="73BD7F5B" w:rsidR="00B63E0A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 w:rsidRPr="00B63E0A">
              <w:t>limitation</w:t>
            </w:r>
            <w:r>
              <w:t>s period</w:t>
            </w:r>
            <w:r w:rsidRPr="00B63E0A">
              <w:t xml:space="preserve"> </w:t>
            </w:r>
            <w:r>
              <w:t>for</w:t>
            </w:r>
            <w:r w:rsidRPr="00B63E0A">
              <w:t xml:space="preserve"> filing</w:t>
            </w:r>
            <w:r w:rsidR="00C551BD">
              <w:t xml:space="preserve"> an</w:t>
            </w:r>
            <w:r w:rsidRPr="00B63E0A">
              <w:t xml:space="preserve"> action to enforce </w:t>
            </w:r>
            <w:r w:rsidR="00C551BD">
              <w:t xml:space="preserve">a </w:t>
            </w:r>
            <w:r w:rsidRPr="00B63E0A">
              <w:t>lien</w:t>
            </w:r>
            <w:r>
              <w:t>;</w:t>
            </w:r>
          </w:p>
          <w:p w14:paraId="3974CF8E" w14:textId="56343343" w:rsidR="00B63E0A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 w:rsidRPr="006D1627">
              <w:t>venue</w:t>
            </w:r>
            <w:r>
              <w:t xml:space="preserve"> for an action to enforce an</w:t>
            </w:r>
            <w:r w:rsidRPr="00B63E0A">
              <w:t xml:space="preserve"> interest owner's oil and gas lien</w:t>
            </w:r>
            <w:r>
              <w:t>;</w:t>
            </w:r>
            <w:r w:rsidR="00F00925">
              <w:t xml:space="preserve"> and</w:t>
            </w:r>
          </w:p>
          <w:p w14:paraId="52460785" w14:textId="473FCB7D" w:rsidR="00900A60" w:rsidRDefault="003F1FF8" w:rsidP="00DD358A">
            <w:pPr>
              <w:pStyle w:val="Header"/>
              <w:numPr>
                <w:ilvl w:val="0"/>
                <w:numId w:val="5"/>
              </w:numPr>
              <w:jc w:val="both"/>
            </w:pPr>
            <w:r w:rsidRPr="00900A60">
              <w:t>payment dispute</w:t>
            </w:r>
            <w:r>
              <w:t>s</w:t>
            </w:r>
            <w:r w:rsidRPr="00900A60">
              <w:t xml:space="preserve"> </w:t>
            </w:r>
            <w:r w:rsidRPr="00900A60">
              <w:t>between an operator and another interest owner</w:t>
            </w:r>
            <w:r>
              <w:t>.</w:t>
            </w:r>
          </w:p>
          <w:p w14:paraId="639B4E49" w14:textId="3DC46658" w:rsidR="00806AC2" w:rsidRDefault="00806AC2" w:rsidP="00DD358A">
            <w:pPr>
              <w:pStyle w:val="Header"/>
              <w:jc w:val="both"/>
            </w:pPr>
          </w:p>
          <w:p w14:paraId="32971A82" w14:textId="358565F3" w:rsidR="00C02AFF" w:rsidRDefault="003F1FF8" w:rsidP="00DD358A">
            <w:pPr>
              <w:pStyle w:val="Header"/>
              <w:jc w:val="both"/>
            </w:pPr>
            <w:r>
              <w:t xml:space="preserve">H.B. 3794 prohibits </w:t>
            </w:r>
            <w:r w:rsidR="00F6260C">
              <w:t xml:space="preserve">a first purchaser from </w:t>
            </w:r>
            <w:r w:rsidR="008A4040">
              <w:t xml:space="preserve">requiring an interest owner, as </w:t>
            </w:r>
            <w:r>
              <w:t xml:space="preserve">a condition or term of an agreement </w:t>
            </w:r>
            <w:r w:rsidR="008A4040">
              <w:t>or otherwise,</w:t>
            </w:r>
            <w:r>
              <w:t xml:space="preserve"> to </w:t>
            </w:r>
            <w:r w:rsidR="006D1627" w:rsidRPr="006D1627">
              <w:t>waive</w:t>
            </w:r>
            <w:r w:rsidR="006D1627">
              <w:t xml:space="preserve"> </w:t>
            </w:r>
            <w:r>
              <w:t xml:space="preserve">or release any oil and gas lien or </w:t>
            </w:r>
            <w:r w:rsidR="006D1627">
              <w:t>an</w:t>
            </w:r>
            <w:r>
              <w:t xml:space="preserve">other right established by the bill </w:t>
            </w:r>
            <w:r>
              <w:t xml:space="preserve">other than on </w:t>
            </w:r>
            <w:r w:rsidR="008A4040">
              <w:t>full payment of the sales price</w:t>
            </w:r>
            <w:r>
              <w:t xml:space="preserve"> or to agree to a provision that would apply another state's law to an applicable right. The bill voids such a waiver or release unless the first purchaser </w:t>
            </w:r>
            <w:r w:rsidR="001B5AB7">
              <w:t>secures the payment by a letter of</w:t>
            </w:r>
            <w:r>
              <w:t xml:space="preserve"> credit or </w:t>
            </w:r>
            <w:r w:rsidR="006D1627">
              <w:t xml:space="preserve">by </w:t>
            </w:r>
            <w:r>
              <w:t>prepaym</w:t>
            </w:r>
            <w:r>
              <w:t>ent or escrow</w:t>
            </w:r>
            <w:r w:rsidR="006D1627">
              <w:t xml:space="preserve"> of the sales price. </w:t>
            </w:r>
          </w:p>
          <w:p w14:paraId="70CDB72D" w14:textId="77777777" w:rsidR="006D1627" w:rsidRDefault="006D1627" w:rsidP="00DD358A">
            <w:pPr>
              <w:pStyle w:val="Header"/>
              <w:jc w:val="both"/>
            </w:pPr>
          </w:p>
          <w:p w14:paraId="608EC8C1" w14:textId="3329BD09" w:rsidR="00353A05" w:rsidRDefault="003F1FF8" w:rsidP="00DD358A">
            <w:pPr>
              <w:pStyle w:val="Header"/>
              <w:jc w:val="both"/>
            </w:pPr>
            <w:r w:rsidRPr="00353A05">
              <w:t>H.B. 3794 amends the Business &amp; Commerce Code to</w:t>
            </w:r>
            <w:r>
              <w:t xml:space="preserve"> make conforming changes.</w:t>
            </w:r>
          </w:p>
          <w:p w14:paraId="048448DE" w14:textId="0181F33F" w:rsidR="00353A05" w:rsidRDefault="00353A05" w:rsidP="00DD358A">
            <w:pPr>
              <w:pStyle w:val="Header"/>
              <w:jc w:val="both"/>
            </w:pPr>
          </w:p>
          <w:p w14:paraId="6B9BDC61" w14:textId="153CAB61" w:rsidR="009B54B7" w:rsidRDefault="003F1FF8" w:rsidP="00DD358A">
            <w:pPr>
              <w:pStyle w:val="Header"/>
              <w:jc w:val="both"/>
            </w:pPr>
            <w:r>
              <w:t xml:space="preserve">H.B. 3794 </w:t>
            </w:r>
            <w:r w:rsidRPr="009B54B7">
              <w:t>do</w:t>
            </w:r>
            <w:r>
              <w:t>es</w:t>
            </w:r>
            <w:r w:rsidRPr="009B54B7">
              <w:t xml:space="preserve"> not affect the rights of any interest owner that accrued before the</w:t>
            </w:r>
            <w:r>
              <w:t xml:space="preserve"> bill's</w:t>
            </w:r>
            <w:r w:rsidRPr="009B54B7">
              <w:t xml:space="preserve"> effective date to the extent those rights are not in co</w:t>
            </w:r>
            <w:r w:rsidRPr="009B54B7">
              <w:t>nflict with the</w:t>
            </w:r>
            <w:r>
              <w:t xml:space="preserve"> bill's</w:t>
            </w:r>
            <w:r w:rsidRPr="009B54B7">
              <w:t xml:space="preserve"> provisions.</w:t>
            </w:r>
            <w:r>
              <w:t xml:space="preserve"> The bill specifies </w:t>
            </w:r>
            <w:r w:rsidR="008C27AC">
              <w:t>that</w:t>
            </w:r>
            <w:r w:rsidR="009A1DC9">
              <w:t>, for purposes of priority of liens and liens in commingled products,</w:t>
            </w:r>
            <w:r w:rsidR="008C27AC">
              <w:t xml:space="preserve"> a permitted lien </w:t>
            </w:r>
            <w:r w:rsidR="008C27AC" w:rsidRPr="008C27AC">
              <w:t xml:space="preserve">includes </w:t>
            </w:r>
            <w:r w:rsidR="008C27AC">
              <w:t>certain</w:t>
            </w:r>
            <w:r w:rsidR="008C27AC" w:rsidRPr="008C27AC">
              <w:t xml:space="preserve"> mortgage lien</w:t>
            </w:r>
            <w:r w:rsidR="008C27AC">
              <w:t>s</w:t>
            </w:r>
            <w:r w:rsidR="008C27AC" w:rsidRPr="008C27AC">
              <w:t xml:space="preserve"> or security interest</w:t>
            </w:r>
            <w:r w:rsidR="008C27AC">
              <w:t>s</w:t>
            </w:r>
            <w:r w:rsidR="008C27AC" w:rsidRPr="008C27AC">
              <w:t xml:space="preserve"> in oil or gas</w:t>
            </w:r>
            <w:r w:rsidR="008C27AC">
              <w:t xml:space="preserve"> </w:t>
            </w:r>
            <w:r w:rsidR="009A1DC9">
              <w:t>predating the bill's effective date</w:t>
            </w:r>
            <w:r w:rsidR="008C27AC">
              <w:t xml:space="preserve">. </w:t>
            </w:r>
          </w:p>
          <w:p w14:paraId="6295A8D8" w14:textId="77777777" w:rsidR="009B54B7" w:rsidRDefault="009B54B7" w:rsidP="00DD358A">
            <w:pPr>
              <w:pStyle w:val="Header"/>
              <w:jc w:val="both"/>
            </w:pPr>
          </w:p>
          <w:p w14:paraId="58171F9C" w14:textId="4DA21840" w:rsidR="00900A60" w:rsidRDefault="003F1FF8" w:rsidP="00DD358A">
            <w:pPr>
              <w:pStyle w:val="Header"/>
              <w:jc w:val="both"/>
            </w:pPr>
            <w:r>
              <w:t xml:space="preserve">H.B. 3794 repeals </w:t>
            </w:r>
            <w:r w:rsidRPr="00900A60">
              <w:t>Section 9.343, Business &amp; Commerce Code</w:t>
            </w:r>
            <w:r w:rsidR="00C551BD">
              <w:t>.</w:t>
            </w:r>
          </w:p>
          <w:p w14:paraId="0A247C64" w14:textId="77777777" w:rsidR="008423E4" w:rsidRPr="00835628" w:rsidRDefault="008423E4" w:rsidP="00DD358A">
            <w:pPr>
              <w:rPr>
                <w:b/>
              </w:rPr>
            </w:pPr>
          </w:p>
        </w:tc>
      </w:tr>
      <w:tr w:rsidR="00AE1D7D" w14:paraId="207EC18F" w14:textId="77777777" w:rsidTr="00345119">
        <w:tc>
          <w:tcPr>
            <w:tcW w:w="9576" w:type="dxa"/>
          </w:tcPr>
          <w:p w14:paraId="7AC19B5E" w14:textId="77777777" w:rsidR="008423E4" w:rsidRPr="00A8133F" w:rsidRDefault="003F1FF8" w:rsidP="00DD358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72541D" w14:textId="77777777" w:rsidR="008423E4" w:rsidRDefault="008423E4" w:rsidP="00DD358A"/>
          <w:p w14:paraId="6D11DD2F" w14:textId="7A72924E" w:rsidR="008423E4" w:rsidRPr="003624F2" w:rsidRDefault="003F1FF8" w:rsidP="00DD3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15F4FA1" w14:textId="77777777" w:rsidR="008423E4" w:rsidRPr="00233FDB" w:rsidRDefault="008423E4" w:rsidP="00DD358A">
            <w:pPr>
              <w:rPr>
                <w:b/>
              </w:rPr>
            </w:pPr>
          </w:p>
        </w:tc>
      </w:tr>
    </w:tbl>
    <w:p w14:paraId="39D45E45" w14:textId="77777777" w:rsidR="008423E4" w:rsidRPr="00BE0E75" w:rsidRDefault="008423E4" w:rsidP="00DD358A">
      <w:pPr>
        <w:jc w:val="both"/>
        <w:rPr>
          <w:rFonts w:ascii="Arial" w:hAnsi="Arial"/>
          <w:sz w:val="16"/>
          <w:szCs w:val="16"/>
        </w:rPr>
      </w:pPr>
    </w:p>
    <w:p w14:paraId="2331564F" w14:textId="77777777" w:rsidR="004108C3" w:rsidRPr="008423E4" w:rsidRDefault="004108C3" w:rsidP="00DD358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57B4" w14:textId="77777777" w:rsidR="00000000" w:rsidRDefault="003F1FF8">
      <w:r>
        <w:separator/>
      </w:r>
    </w:p>
  </w:endnote>
  <w:endnote w:type="continuationSeparator" w:id="0">
    <w:p w14:paraId="42657AC1" w14:textId="77777777" w:rsidR="00000000" w:rsidRDefault="003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720B" w14:textId="77777777" w:rsidR="00C70B05" w:rsidRDefault="00C70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1D7D" w14:paraId="291BB642" w14:textId="77777777" w:rsidTr="009C1E9A">
      <w:trPr>
        <w:cantSplit/>
      </w:trPr>
      <w:tc>
        <w:tcPr>
          <w:tcW w:w="0" w:type="pct"/>
        </w:tcPr>
        <w:p w14:paraId="3F59AD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67FF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B8A97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4B46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D1F7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1D7D" w14:paraId="32EA951E" w14:textId="77777777" w:rsidTr="009C1E9A">
      <w:trPr>
        <w:cantSplit/>
      </w:trPr>
      <w:tc>
        <w:tcPr>
          <w:tcW w:w="0" w:type="pct"/>
        </w:tcPr>
        <w:p w14:paraId="272BCC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4F6D1C" w14:textId="3B555F4B" w:rsidR="00EC379B" w:rsidRPr="009C1E9A" w:rsidRDefault="003F1F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18798</w:t>
          </w:r>
        </w:p>
      </w:tc>
      <w:tc>
        <w:tcPr>
          <w:tcW w:w="2453" w:type="pct"/>
        </w:tcPr>
        <w:p w14:paraId="4019A563" w14:textId="500E6819" w:rsidR="00EC379B" w:rsidRDefault="003F1F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2442">
            <w:t>21.100.125</w:t>
          </w:r>
          <w:r>
            <w:fldChar w:fldCharType="end"/>
          </w:r>
        </w:p>
      </w:tc>
    </w:tr>
    <w:tr w:rsidR="00AE1D7D" w14:paraId="38A3C034" w14:textId="77777777" w:rsidTr="009C1E9A">
      <w:trPr>
        <w:cantSplit/>
      </w:trPr>
      <w:tc>
        <w:tcPr>
          <w:tcW w:w="0" w:type="pct"/>
        </w:tcPr>
        <w:p w14:paraId="6C6764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8E5DA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AC70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541B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1D7D" w14:paraId="34AFF08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115478" w14:textId="4A02D350" w:rsidR="00EC379B" w:rsidRDefault="003F1F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71D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CE267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AA2F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FA9B" w14:textId="77777777" w:rsidR="00C70B05" w:rsidRDefault="00C70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70F5" w14:textId="77777777" w:rsidR="00000000" w:rsidRDefault="003F1FF8">
      <w:r>
        <w:separator/>
      </w:r>
    </w:p>
  </w:footnote>
  <w:footnote w:type="continuationSeparator" w:id="0">
    <w:p w14:paraId="79314A61" w14:textId="77777777" w:rsidR="00000000" w:rsidRDefault="003F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4A21" w14:textId="77777777" w:rsidR="00C70B05" w:rsidRDefault="00C70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6DCE" w14:textId="77777777" w:rsidR="00C70B05" w:rsidRDefault="00C70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B3EE" w14:textId="77777777" w:rsidR="00C70B05" w:rsidRDefault="00C70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751"/>
    <w:multiLevelType w:val="hybridMultilevel"/>
    <w:tmpl w:val="C06A56E8"/>
    <w:lvl w:ilvl="0" w:tplc="28F6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A7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E5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67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8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C3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AD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EA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E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4C25"/>
    <w:multiLevelType w:val="hybridMultilevel"/>
    <w:tmpl w:val="FBD6FA74"/>
    <w:lvl w:ilvl="0" w:tplc="6630D0F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909894C4" w:tentative="1">
      <w:start w:val="1"/>
      <w:numFmt w:val="lowerLetter"/>
      <w:lvlText w:val="%2."/>
      <w:lvlJc w:val="left"/>
      <w:pPr>
        <w:ind w:left="1440" w:hanging="360"/>
      </w:pPr>
    </w:lvl>
    <w:lvl w:ilvl="2" w:tplc="CA22F178" w:tentative="1">
      <w:start w:val="1"/>
      <w:numFmt w:val="lowerRoman"/>
      <w:lvlText w:val="%3."/>
      <w:lvlJc w:val="right"/>
      <w:pPr>
        <w:ind w:left="2160" w:hanging="180"/>
      </w:pPr>
    </w:lvl>
    <w:lvl w:ilvl="3" w:tplc="07A4A08A" w:tentative="1">
      <w:start w:val="1"/>
      <w:numFmt w:val="decimal"/>
      <w:lvlText w:val="%4."/>
      <w:lvlJc w:val="left"/>
      <w:pPr>
        <w:ind w:left="2880" w:hanging="360"/>
      </w:pPr>
    </w:lvl>
    <w:lvl w:ilvl="4" w:tplc="371A410C" w:tentative="1">
      <w:start w:val="1"/>
      <w:numFmt w:val="lowerLetter"/>
      <w:lvlText w:val="%5."/>
      <w:lvlJc w:val="left"/>
      <w:pPr>
        <w:ind w:left="3600" w:hanging="360"/>
      </w:pPr>
    </w:lvl>
    <w:lvl w:ilvl="5" w:tplc="DED88902" w:tentative="1">
      <w:start w:val="1"/>
      <w:numFmt w:val="lowerRoman"/>
      <w:lvlText w:val="%6."/>
      <w:lvlJc w:val="right"/>
      <w:pPr>
        <w:ind w:left="4320" w:hanging="180"/>
      </w:pPr>
    </w:lvl>
    <w:lvl w:ilvl="6" w:tplc="7F50BF68" w:tentative="1">
      <w:start w:val="1"/>
      <w:numFmt w:val="decimal"/>
      <w:lvlText w:val="%7."/>
      <w:lvlJc w:val="left"/>
      <w:pPr>
        <w:ind w:left="5040" w:hanging="360"/>
      </w:pPr>
    </w:lvl>
    <w:lvl w:ilvl="7" w:tplc="B356637E" w:tentative="1">
      <w:start w:val="1"/>
      <w:numFmt w:val="lowerLetter"/>
      <w:lvlText w:val="%8."/>
      <w:lvlJc w:val="left"/>
      <w:pPr>
        <w:ind w:left="5760" w:hanging="360"/>
      </w:pPr>
    </w:lvl>
    <w:lvl w:ilvl="8" w:tplc="4E5EF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2C4E"/>
    <w:multiLevelType w:val="hybridMultilevel"/>
    <w:tmpl w:val="CB0C0FE6"/>
    <w:lvl w:ilvl="0" w:tplc="5BE49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CF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81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E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65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40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6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8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0666"/>
    <w:multiLevelType w:val="hybridMultilevel"/>
    <w:tmpl w:val="CEECDA16"/>
    <w:lvl w:ilvl="0" w:tplc="E636243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BB8449B6" w:tentative="1">
      <w:start w:val="1"/>
      <w:numFmt w:val="lowerLetter"/>
      <w:lvlText w:val="%2."/>
      <w:lvlJc w:val="left"/>
      <w:pPr>
        <w:ind w:left="1440" w:hanging="360"/>
      </w:pPr>
    </w:lvl>
    <w:lvl w:ilvl="2" w:tplc="49349E14" w:tentative="1">
      <w:start w:val="1"/>
      <w:numFmt w:val="lowerRoman"/>
      <w:lvlText w:val="%3."/>
      <w:lvlJc w:val="right"/>
      <w:pPr>
        <w:ind w:left="2160" w:hanging="180"/>
      </w:pPr>
    </w:lvl>
    <w:lvl w:ilvl="3" w:tplc="0E74BA28" w:tentative="1">
      <w:start w:val="1"/>
      <w:numFmt w:val="decimal"/>
      <w:lvlText w:val="%4."/>
      <w:lvlJc w:val="left"/>
      <w:pPr>
        <w:ind w:left="2880" w:hanging="360"/>
      </w:pPr>
    </w:lvl>
    <w:lvl w:ilvl="4" w:tplc="234A2B28" w:tentative="1">
      <w:start w:val="1"/>
      <w:numFmt w:val="lowerLetter"/>
      <w:lvlText w:val="%5."/>
      <w:lvlJc w:val="left"/>
      <w:pPr>
        <w:ind w:left="3600" w:hanging="360"/>
      </w:pPr>
    </w:lvl>
    <w:lvl w:ilvl="5" w:tplc="0796494C" w:tentative="1">
      <w:start w:val="1"/>
      <w:numFmt w:val="lowerRoman"/>
      <w:lvlText w:val="%6."/>
      <w:lvlJc w:val="right"/>
      <w:pPr>
        <w:ind w:left="4320" w:hanging="180"/>
      </w:pPr>
    </w:lvl>
    <w:lvl w:ilvl="6" w:tplc="4022E214" w:tentative="1">
      <w:start w:val="1"/>
      <w:numFmt w:val="decimal"/>
      <w:lvlText w:val="%7."/>
      <w:lvlJc w:val="left"/>
      <w:pPr>
        <w:ind w:left="5040" w:hanging="360"/>
      </w:pPr>
    </w:lvl>
    <w:lvl w:ilvl="7" w:tplc="CFC2CBCC" w:tentative="1">
      <w:start w:val="1"/>
      <w:numFmt w:val="lowerLetter"/>
      <w:lvlText w:val="%8."/>
      <w:lvlJc w:val="left"/>
      <w:pPr>
        <w:ind w:left="5760" w:hanging="360"/>
      </w:pPr>
    </w:lvl>
    <w:lvl w:ilvl="8" w:tplc="EB0CE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1612"/>
    <w:multiLevelType w:val="hybridMultilevel"/>
    <w:tmpl w:val="C4462FF6"/>
    <w:lvl w:ilvl="0" w:tplc="F69E9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24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41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6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C7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C9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04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3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D0C43"/>
    <w:multiLevelType w:val="hybridMultilevel"/>
    <w:tmpl w:val="51047C30"/>
    <w:lvl w:ilvl="0" w:tplc="182E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4D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43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25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4E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8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5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88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F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E5C1F"/>
    <w:multiLevelType w:val="hybridMultilevel"/>
    <w:tmpl w:val="91E446DA"/>
    <w:lvl w:ilvl="0" w:tplc="9676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6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0F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C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5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84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07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4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4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80C97"/>
    <w:multiLevelType w:val="hybridMultilevel"/>
    <w:tmpl w:val="395E1970"/>
    <w:lvl w:ilvl="0" w:tplc="0F8A8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5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4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8C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F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4C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44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E4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9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0D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19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A21"/>
    <w:rsid w:val="000667BA"/>
    <w:rsid w:val="000676A7"/>
    <w:rsid w:val="00073914"/>
    <w:rsid w:val="00074236"/>
    <w:rsid w:val="000746BD"/>
    <w:rsid w:val="00076D7D"/>
    <w:rsid w:val="00080D95"/>
    <w:rsid w:val="0009029D"/>
    <w:rsid w:val="00090E6B"/>
    <w:rsid w:val="00091B2C"/>
    <w:rsid w:val="00092ABC"/>
    <w:rsid w:val="00097AAF"/>
    <w:rsid w:val="00097D13"/>
    <w:rsid w:val="000A4893"/>
    <w:rsid w:val="000A54E0"/>
    <w:rsid w:val="000A72C4"/>
    <w:rsid w:val="000A7832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2A1"/>
    <w:rsid w:val="000D46E5"/>
    <w:rsid w:val="000D769C"/>
    <w:rsid w:val="000E1976"/>
    <w:rsid w:val="000E1F51"/>
    <w:rsid w:val="000E20F1"/>
    <w:rsid w:val="000E5B20"/>
    <w:rsid w:val="000E7C14"/>
    <w:rsid w:val="000F094C"/>
    <w:rsid w:val="000F18A2"/>
    <w:rsid w:val="000F2A7F"/>
    <w:rsid w:val="000F2D5A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5FA4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1EE6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F95"/>
    <w:rsid w:val="001A2BDD"/>
    <w:rsid w:val="001A3DDF"/>
    <w:rsid w:val="001A4310"/>
    <w:rsid w:val="001B053A"/>
    <w:rsid w:val="001B26D8"/>
    <w:rsid w:val="001B2974"/>
    <w:rsid w:val="001B3BFA"/>
    <w:rsid w:val="001B5AB7"/>
    <w:rsid w:val="001B5D05"/>
    <w:rsid w:val="001B6E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5A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7A6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496"/>
    <w:rsid w:val="00264164"/>
    <w:rsid w:val="00265133"/>
    <w:rsid w:val="00265A23"/>
    <w:rsid w:val="00267841"/>
    <w:rsid w:val="002710C3"/>
    <w:rsid w:val="002734D6"/>
    <w:rsid w:val="00274220"/>
    <w:rsid w:val="00274C45"/>
    <w:rsid w:val="00275109"/>
    <w:rsid w:val="00275BEE"/>
    <w:rsid w:val="00277434"/>
    <w:rsid w:val="00280123"/>
    <w:rsid w:val="00281343"/>
    <w:rsid w:val="00281883"/>
    <w:rsid w:val="00285C30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A05"/>
    <w:rsid w:val="003544CE"/>
    <w:rsid w:val="00355A98"/>
    <w:rsid w:val="00355D7E"/>
    <w:rsid w:val="00357CA1"/>
    <w:rsid w:val="0036098F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1FF8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5BC"/>
    <w:rsid w:val="004136A8"/>
    <w:rsid w:val="00415139"/>
    <w:rsid w:val="004166BB"/>
    <w:rsid w:val="004174CD"/>
    <w:rsid w:val="004241AA"/>
    <w:rsid w:val="0042422E"/>
    <w:rsid w:val="0043190E"/>
    <w:rsid w:val="004324E9"/>
    <w:rsid w:val="004336AB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D7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1BDD"/>
    <w:rsid w:val="004B412A"/>
    <w:rsid w:val="004B576C"/>
    <w:rsid w:val="004B76BD"/>
    <w:rsid w:val="004B772A"/>
    <w:rsid w:val="004C302F"/>
    <w:rsid w:val="004C4609"/>
    <w:rsid w:val="004C4B8A"/>
    <w:rsid w:val="004C521A"/>
    <w:rsid w:val="004C52EF"/>
    <w:rsid w:val="004C5F34"/>
    <w:rsid w:val="004C600C"/>
    <w:rsid w:val="004C74AE"/>
    <w:rsid w:val="004C7888"/>
    <w:rsid w:val="004D1AC9"/>
    <w:rsid w:val="004D27DE"/>
    <w:rsid w:val="004D3F41"/>
    <w:rsid w:val="004D5098"/>
    <w:rsid w:val="004D6497"/>
    <w:rsid w:val="004E0E60"/>
    <w:rsid w:val="004E12A3"/>
    <w:rsid w:val="004E1CC7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E5F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924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602"/>
    <w:rsid w:val="00562C87"/>
    <w:rsid w:val="005636BD"/>
    <w:rsid w:val="005666D5"/>
    <w:rsid w:val="005669A7"/>
    <w:rsid w:val="00573401"/>
    <w:rsid w:val="00576714"/>
    <w:rsid w:val="0057685A"/>
    <w:rsid w:val="00580492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09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E3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2A1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E73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4E6"/>
    <w:rsid w:val="006B5E80"/>
    <w:rsid w:val="006B7A2E"/>
    <w:rsid w:val="006C36F0"/>
    <w:rsid w:val="006C4709"/>
    <w:rsid w:val="006D162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1BF"/>
    <w:rsid w:val="006F4BB0"/>
    <w:rsid w:val="006F6A1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002"/>
    <w:rsid w:val="00717739"/>
    <w:rsid w:val="00717DE4"/>
    <w:rsid w:val="00721724"/>
    <w:rsid w:val="00722EC5"/>
    <w:rsid w:val="00723326"/>
    <w:rsid w:val="00724252"/>
    <w:rsid w:val="0072604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701"/>
    <w:rsid w:val="007A3844"/>
    <w:rsid w:val="007A4381"/>
    <w:rsid w:val="007A5466"/>
    <w:rsid w:val="007A7EC1"/>
    <w:rsid w:val="007B4FCA"/>
    <w:rsid w:val="007B7B85"/>
    <w:rsid w:val="007C30C3"/>
    <w:rsid w:val="007C462E"/>
    <w:rsid w:val="007C496B"/>
    <w:rsid w:val="007C6803"/>
    <w:rsid w:val="007D2892"/>
    <w:rsid w:val="007D2DCC"/>
    <w:rsid w:val="007D47E1"/>
    <w:rsid w:val="007D7FCB"/>
    <w:rsid w:val="007E0F96"/>
    <w:rsid w:val="007E33B6"/>
    <w:rsid w:val="007E59E8"/>
    <w:rsid w:val="007F3861"/>
    <w:rsid w:val="007F4162"/>
    <w:rsid w:val="007F5441"/>
    <w:rsid w:val="007F7668"/>
    <w:rsid w:val="00800C63"/>
    <w:rsid w:val="00802243"/>
    <w:rsid w:val="008022BF"/>
    <w:rsid w:val="008023D4"/>
    <w:rsid w:val="00805402"/>
    <w:rsid w:val="00806768"/>
    <w:rsid w:val="00806AC2"/>
    <w:rsid w:val="0080730D"/>
    <w:rsid w:val="0080765F"/>
    <w:rsid w:val="00812BE3"/>
    <w:rsid w:val="00814516"/>
    <w:rsid w:val="00815C9D"/>
    <w:rsid w:val="008170E2"/>
    <w:rsid w:val="00823A1F"/>
    <w:rsid w:val="00823E4C"/>
    <w:rsid w:val="00827749"/>
    <w:rsid w:val="00827B7E"/>
    <w:rsid w:val="00830EEB"/>
    <w:rsid w:val="008347A9"/>
    <w:rsid w:val="00835628"/>
    <w:rsid w:val="00835E90"/>
    <w:rsid w:val="008377E2"/>
    <w:rsid w:val="0084176D"/>
    <w:rsid w:val="0084212A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242"/>
    <w:rsid w:val="008673D9"/>
    <w:rsid w:val="008674DF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442"/>
    <w:rsid w:val="008930D7"/>
    <w:rsid w:val="008947A7"/>
    <w:rsid w:val="00897E80"/>
    <w:rsid w:val="008A0320"/>
    <w:rsid w:val="008A04FA"/>
    <w:rsid w:val="008A3188"/>
    <w:rsid w:val="008A3FDF"/>
    <w:rsid w:val="008A4040"/>
    <w:rsid w:val="008A6418"/>
    <w:rsid w:val="008B05D8"/>
    <w:rsid w:val="008B0B3D"/>
    <w:rsid w:val="008B2B1A"/>
    <w:rsid w:val="008B3428"/>
    <w:rsid w:val="008B7785"/>
    <w:rsid w:val="008C0809"/>
    <w:rsid w:val="008C132C"/>
    <w:rsid w:val="008C27AC"/>
    <w:rsid w:val="008C3FD0"/>
    <w:rsid w:val="008D27A5"/>
    <w:rsid w:val="008D2AAB"/>
    <w:rsid w:val="008D309C"/>
    <w:rsid w:val="008D58F9"/>
    <w:rsid w:val="008E19CE"/>
    <w:rsid w:val="008E3338"/>
    <w:rsid w:val="008E47BE"/>
    <w:rsid w:val="008E5FDB"/>
    <w:rsid w:val="008F09DF"/>
    <w:rsid w:val="008F3053"/>
    <w:rsid w:val="008F3136"/>
    <w:rsid w:val="008F40DF"/>
    <w:rsid w:val="008F5E16"/>
    <w:rsid w:val="008F5EFC"/>
    <w:rsid w:val="00900A60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B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37D1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DC9"/>
    <w:rsid w:val="009A39F5"/>
    <w:rsid w:val="009A4588"/>
    <w:rsid w:val="009A5EA5"/>
    <w:rsid w:val="009B00C2"/>
    <w:rsid w:val="009B26AB"/>
    <w:rsid w:val="009B3476"/>
    <w:rsid w:val="009B39BC"/>
    <w:rsid w:val="009B422D"/>
    <w:rsid w:val="009B5069"/>
    <w:rsid w:val="009B54B7"/>
    <w:rsid w:val="009B69AD"/>
    <w:rsid w:val="009B7806"/>
    <w:rsid w:val="009C05C1"/>
    <w:rsid w:val="009C171A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61E"/>
    <w:rsid w:val="009E0A7E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EB5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B5D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3750"/>
    <w:rsid w:val="00AB474B"/>
    <w:rsid w:val="00AB5CCC"/>
    <w:rsid w:val="00AB74E2"/>
    <w:rsid w:val="00AC2E9A"/>
    <w:rsid w:val="00AC5AAB"/>
    <w:rsid w:val="00AC5AEC"/>
    <w:rsid w:val="00AC5F28"/>
    <w:rsid w:val="00AC6900"/>
    <w:rsid w:val="00AD14DA"/>
    <w:rsid w:val="00AD304B"/>
    <w:rsid w:val="00AD4497"/>
    <w:rsid w:val="00AD7780"/>
    <w:rsid w:val="00AE1D7D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ED7"/>
    <w:rsid w:val="00B14BD2"/>
    <w:rsid w:val="00B154C6"/>
    <w:rsid w:val="00B1557F"/>
    <w:rsid w:val="00B1668D"/>
    <w:rsid w:val="00B17981"/>
    <w:rsid w:val="00B233BB"/>
    <w:rsid w:val="00B25612"/>
    <w:rsid w:val="00B26437"/>
    <w:rsid w:val="00B2678E"/>
    <w:rsid w:val="00B3008B"/>
    <w:rsid w:val="00B30647"/>
    <w:rsid w:val="00B31F0E"/>
    <w:rsid w:val="00B34F25"/>
    <w:rsid w:val="00B402F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E0A"/>
    <w:rsid w:val="00B65695"/>
    <w:rsid w:val="00B66526"/>
    <w:rsid w:val="00B665A3"/>
    <w:rsid w:val="00B730DE"/>
    <w:rsid w:val="00B739ED"/>
    <w:rsid w:val="00B73BB4"/>
    <w:rsid w:val="00B80532"/>
    <w:rsid w:val="00B82039"/>
    <w:rsid w:val="00B82454"/>
    <w:rsid w:val="00B8390F"/>
    <w:rsid w:val="00B90097"/>
    <w:rsid w:val="00B90999"/>
    <w:rsid w:val="00B91AD7"/>
    <w:rsid w:val="00B92D23"/>
    <w:rsid w:val="00B95BC8"/>
    <w:rsid w:val="00B96E87"/>
    <w:rsid w:val="00BA146A"/>
    <w:rsid w:val="00BA32EE"/>
    <w:rsid w:val="00BB0A0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9A"/>
    <w:rsid w:val="00BE3E30"/>
    <w:rsid w:val="00BE5274"/>
    <w:rsid w:val="00BE627F"/>
    <w:rsid w:val="00BE71CD"/>
    <w:rsid w:val="00BE7748"/>
    <w:rsid w:val="00BE7BDA"/>
    <w:rsid w:val="00BF0548"/>
    <w:rsid w:val="00BF4949"/>
    <w:rsid w:val="00BF4D7C"/>
    <w:rsid w:val="00BF5085"/>
    <w:rsid w:val="00C013F4"/>
    <w:rsid w:val="00C02AFF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1BD"/>
    <w:rsid w:val="00C57933"/>
    <w:rsid w:val="00C60206"/>
    <w:rsid w:val="00C615D4"/>
    <w:rsid w:val="00C61B5D"/>
    <w:rsid w:val="00C61C0E"/>
    <w:rsid w:val="00C61C64"/>
    <w:rsid w:val="00C61CDA"/>
    <w:rsid w:val="00C70B0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9E8"/>
    <w:rsid w:val="00C9047F"/>
    <w:rsid w:val="00C91C5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EC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7BC"/>
    <w:rsid w:val="00D03176"/>
    <w:rsid w:val="00D060A8"/>
    <w:rsid w:val="00D06605"/>
    <w:rsid w:val="00D0720F"/>
    <w:rsid w:val="00D074E2"/>
    <w:rsid w:val="00D11B0B"/>
    <w:rsid w:val="00D11D7A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58A"/>
    <w:rsid w:val="00DD4A1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E27"/>
    <w:rsid w:val="00E04B30"/>
    <w:rsid w:val="00E05FB7"/>
    <w:rsid w:val="00E066E6"/>
    <w:rsid w:val="00E06807"/>
    <w:rsid w:val="00E06C5E"/>
    <w:rsid w:val="00E0752B"/>
    <w:rsid w:val="00E11E27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968"/>
    <w:rsid w:val="00E26B13"/>
    <w:rsid w:val="00E27E5A"/>
    <w:rsid w:val="00E30627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18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62F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925"/>
    <w:rsid w:val="00F01DFA"/>
    <w:rsid w:val="00F02096"/>
    <w:rsid w:val="00F02457"/>
    <w:rsid w:val="00F036C3"/>
    <w:rsid w:val="00F0417E"/>
    <w:rsid w:val="00F05397"/>
    <w:rsid w:val="00F0638C"/>
    <w:rsid w:val="00F07441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EF4"/>
    <w:rsid w:val="00F5605D"/>
    <w:rsid w:val="00F57D4B"/>
    <w:rsid w:val="00F6260C"/>
    <w:rsid w:val="00F6514B"/>
    <w:rsid w:val="00F6587F"/>
    <w:rsid w:val="00F67981"/>
    <w:rsid w:val="00F706CA"/>
    <w:rsid w:val="00F70F8D"/>
    <w:rsid w:val="00F71C5A"/>
    <w:rsid w:val="00F71D5B"/>
    <w:rsid w:val="00F733A4"/>
    <w:rsid w:val="00F7758F"/>
    <w:rsid w:val="00F82811"/>
    <w:rsid w:val="00F84153"/>
    <w:rsid w:val="00F85365"/>
    <w:rsid w:val="00F85661"/>
    <w:rsid w:val="00F90F9E"/>
    <w:rsid w:val="00F94DB3"/>
    <w:rsid w:val="00F9600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D2D01F-4021-435B-ABE4-0BB87138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6A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A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6AC2"/>
    <w:rPr>
      <w:b/>
      <w:bCs/>
    </w:rPr>
  </w:style>
  <w:style w:type="character" w:styleId="Hyperlink">
    <w:name w:val="Hyperlink"/>
    <w:basedOn w:val="DefaultParagraphFont"/>
    <w:unhideWhenUsed/>
    <w:rsid w:val="004C74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07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5056</Characters>
  <Application>Microsoft Office Word</Application>
  <DocSecurity>4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HB03794 (Committee Report (Unamended))</vt:lpstr>
    </vt:vector>
  </TitlesOfParts>
  <Company>State of Texas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18798</dc:subject>
  <dc:creator>State of Texas</dc:creator>
  <dc:description>HB 3794 by Geren-(H)Energy Resources</dc:description>
  <cp:lastModifiedBy>Damian Duarte</cp:lastModifiedBy>
  <cp:revision>2</cp:revision>
  <cp:lastPrinted>2003-11-26T17:21:00Z</cp:lastPrinted>
  <dcterms:created xsi:type="dcterms:W3CDTF">2021-04-13T01:13:00Z</dcterms:created>
  <dcterms:modified xsi:type="dcterms:W3CDTF">2021-04-13T01:13:00Z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21.100.125</vt:lpwstr>
  </property>
</Properties>
</file>