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B3B2D" w14:paraId="1AED1CF8" w14:textId="77777777" w:rsidTr="00345119">
        <w:tc>
          <w:tcPr>
            <w:tcW w:w="9576" w:type="dxa"/>
            <w:noWrap/>
          </w:tcPr>
          <w:p w14:paraId="0D0BDB6A" w14:textId="77777777" w:rsidR="008423E4" w:rsidRPr="0022177D" w:rsidRDefault="000D71D3" w:rsidP="00394DF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57D170F" w14:textId="77777777" w:rsidR="008423E4" w:rsidRPr="0022177D" w:rsidRDefault="008423E4" w:rsidP="00394DF8">
      <w:pPr>
        <w:jc w:val="center"/>
      </w:pPr>
    </w:p>
    <w:p w14:paraId="7AEA606E" w14:textId="77777777" w:rsidR="008423E4" w:rsidRPr="00B31F0E" w:rsidRDefault="008423E4" w:rsidP="00394DF8"/>
    <w:p w14:paraId="0C824ED4" w14:textId="77777777" w:rsidR="008423E4" w:rsidRPr="00742794" w:rsidRDefault="008423E4" w:rsidP="00394D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B3B2D" w14:paraId="4E9D2B2F" w14:textId="77777777" w:rsidTr="00345119">
        <w:tc>
          <w:tcPr>
            <w:tcW w:w="9576" w:type="dxa"/>
          </w:tcPr>
          <w:p w14:paraId="7E16E005" w14:textId="484836DF" w:rsidR="008423E4" w:rsidRPr="00861995" w:rsidRDefault="000D71D3" w:rsidP="00394DF8">
            <w:pPr>
              <w:jc w:val="right"/>
            </w:pPr>
            <w:r>
              <w:t>C.S.H.B. 3820</w:t>
            </w:r>
          </w:p>
        </w:tc>
      </w:tr>
      <w:tr w:rsidR="00CB3B2D" w14:paraId="3B8D0382" w14:textId="77777777" w:rsidTr="00345119">
        <w:tc>
          <w:tcPr>
            <w:tcW w:w="9576" w:type="dxa"/>
          </w:tcPr>
          <w:p w14:paraId="7E8E7E37" w14:textId="4808233D" w:rsidR="008423E4" w:rsidRPr="00861995" w:rsidRDefault="000D71D3" w:rsidP="00636BEA">
            <w:pPr>
              <w:jc w:val="right"/>
            </w:pPr>
            <w:r>
              <w:t xml:space="preserve">By: </w:t>
            </w:r>
            <w:r w:rsidR="00636BEA">
              <w:t>Klick</w:t>
            </w:r>
          </w:p>
        </w:tc>
      </w:tr>
      <w:tr w:rsidR="00CB3B2D" w14:paraId="5D408F80" w14:textId="77777777" w:rsidTr="00345119">
        <w:tc>
          <w:tcPr>
            <w:tcW w:w="9576" w:type="dxa"/>
          </w:tcPr>
          <w:p w14:paraId="2BCC7210" w14:textId="490CD056" w:rsidR="008423E4" w:rsidRPr="00861995" w:rsidRDefault="000D71D3" w:rsidP="00394DF8">
            <w:pPr>
              <w:jc w:val="right"/>
            </w:pPr>
            <w:r>
              <w:t>Human Services</w:t>
            </w:r>
          </w:p>
        </w:tc>
      </w:tr>
      <w:tr w:rsidR="00CB3B2D" w14:paraId="4B74B027" w14:textId="77777777" w:rsidTr="00345119">
        <w:tc>
          <w:tcPr>
            <w:tcW w:w="9576" w:type="dxa"/>
          </w:tcPr>
          <w:p w14:paraId="10CE0A7A" w14:textId="311B7823" w:rsidR="008423E4" w:rsidRDefault="000D71D3" w:rsidP="00394DF8">
            <w:pPr>
              <w:jc w:val="right"/>
            </w:pPr>
            <w:r>
              <w:t>Committee Report (Substituted)</w:t>
            </w:r>
          </w:p>
        </w:tc>
      </w:tr>
    </w:tbl>
    <w:p w14:paraId="5696AD18" w14:textId="77777777" w:rsidR="008423E4" w:rsidRDefault="008423E4" w:rsidP="00394DF8">
      <w:pPr>
        <w:tabs>
          <w:tab w:val="right" w:pos="9360"/>
        </w:tabs>
      </w:pPr>
    </w:p>
    <w:p w14:paraId="6D7B6541" w14:textId="77777777" w:rsidR="008423E4" w:rsidRDefault="008423E4" w:rsidP="00394DF8"/>
    <w:p w14:paraId="31E87243" w14:textId="77777777" w:rsidR="008423E4" w:rsidRPr="00E60DF7" w:rsidRDefault="008423E4" w:rsidP="00394DF8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B3B2D" w14:paraId="2EFAE58F" w14:textId="77777777" w:rsidTr="00345119">
        <w:tc>
          <w:tcPr>
            <w:tcW w:w="9576" w:type="dxa"/>
          </w:tcPr>
          <w:p w14:paraId="3D7453B9" w14:textId="77777777" w:rsidR="008423E4" w:rsidRPr="00A8133F" w:rsidRDefault="000D71D3" w:rsidP="00394D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BCC2D0" w14:textId="77777777" w:rsidR="008423E4" w:rsidRDefault="008423E4" w:rsidP="00394DF8"/>
          <w:p w14:paraId="0E8A80E7" w14:textId="789831C4" w:rsidR="008423E4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022E16">
              <w:t xml:space="preserve">oncerns have been raised regarding the reporting of certain child abuse or neglect cases in which the child has an underlying medical </w:t>
            </w:r>
            <w:r w:rsidRPr="00022E16">
              <w:t>condition that gives the appearance of physical injury. In many cases, the initial report of suspected abuse or neglect comes from a hospital or from a physician who may be tasked with assisting the investigation. These situations can present a conflict of</w:t>
            </w:r>
            <w:r w:rsidRPr="00022E16">
              <w:t xml:space="preserve"> interest wherein the individual who is being counted on to provide investigators with objective, expert analysis of whether a child's injuries were caused by abuse or neglect either made the initial report or is paid by the institution that made the initi</w:t>
            </w:r>
            <w:r w:rsidRPr="00022E16">
              <w:t>al report.</w:t>
            </w:r>
            <w:r w:rsidR="003546D2">
              <w:t xml:space="preserve"> C.S.</w:t>
            </w:r>
            <w:r>
              <w:t>H</w:t>
            </w:r>
            <w:r w:rsidR="003546D2">
              <w:t>.</w:t>
            </w:r>
            <w:r w:rsidRPr="00022E16">
              <w:t>B</w:t>
            </w:r>
            <w:r w:rsidR="003546D2">
              <w:t>.</w:t>
            </w:r>
            <w:r w:rsidRPr="00022E16">
              <w:t xml:space="preserve"> 3820 seeks to mitigate these conflicts of interest by prohibiting a health care provider that makes a report to child protective services from providing expert consultation to the Department of Family and Protective Services in furthera</w:t>
            </w:r>
            <w:r w:rsidRPr="00022E16">
              <w:t>nce of the investigation.</w:t>
            </w:r>
          </w:p>
          <w:p w14:paraId="727FE180" w14:textId="77777777" w:rsidR="008423E4" w:rsidRPr="00E26B13" w:rsidRDefault="008423E4" w:rsidP="00394DF8">
            <w:pPr>
              <w:rPr>
                <w:b/>
              </w:rPr>
            </w:pPr>
          </w:p>
        </w:tc>
      </w:tr>
      <w:tr w:rsidR="00CB3B2D" w14:paraId="5EF7C3AF" w14:textId="77777777" w:rsidTr="00345119">
        <w:tc>
          <w:tcPr>
            <w:tcW w:w="9576" w:type="dxa"/>
          </w:tcPr>
          <w:p w14:paraId="6A4574BD" w14:textId="77777777" w:rsidR="0017725B" w:rsidRDefault="000D71D3" w:rsidP="00394D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9C760B" w14:textId="77777777" w:rsidR="0017725B" w:rsidRDefault="0017725B" w:rsidP="00394DF8">
            <w:pPr>
              <w:rPr>
                <w:b/>
                <w:u w:val="single"/>
              </w:rPr>
            </w:pPr>
          </w:p>
          <w:p w14:paraId="7F713F2E" w14:textId="68C701D0" w:rsidR="00E6005C" w:rsidRPr="00E6005C" w:rsidRDefault="000D71D3" w:rsidP="00394DF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</w:t>
            </w:r>
            <w:r>
              <w:t xml:space="preserve"> person for community supervision, parole, or mandatory supervision.</w:t>
            </w:r>
          </w:p>
          <w:p w14:paraId="044B7C9A" w14:textId="77777777" w:rsidR="0017725B" w:rsidRPr="0017725B" w:rsidRDefault="0017725B" w:rsidP="00394DF8">
            <w:pPr>
              <w:rPr>
                <w:b/>
                <w:u w:val="single"/>
              </w:rPr>
            </w:pPr>
          </w:p>
        </w:tc>
      </w:tr>
      <w:tr w:rsidR="00CB3B2D" w14:paraId="03931DB7" w14:textId="77777777" w:rsidTr="00345119">
        <w:tc>
          <w:tcPr>
            <w:tcW w:w="9576" w:type="dxa"/>
          </w:tcPr>
          <w:p w14:paraId="621B0310" w14:textId="77777777" w:rsidR="008423E4" w:rsidRPr="00A8133F" w:rsidRDefault="000D71D3" w:rsidP="00394D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516BA2" w14:textId="77777777" w:rsidR="008423E4" w:rsidRDefault="008423E4" w:rsidP="00394DF8"/>
          <w:p w14:paraId="0B3D4FD6" w14:textId="30A292F8" w:rsidR="00E6005C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247B262" w14:textId="77777777" w:rsidR="008423E4" w:rsidRPr="00E21FDC" w:rsidRDefault="008423E4" w:rsidP="00394DF8">
            <w:pPr>
              <w:rPr>
                <w:b/>
              </w:rPr>
            </w:pPr>
          </w:p>
        </w:tc>
      </w:tr>
      <w:tr w:rsidR="00CB3B2D" w14:paraId="680BA012" w14:textId="77777777" w:rsidTr="00345119">
        <w:tc>
          <w:tcPr>
            <w:tcW w:w="9576" w:type="dxa"/>
          </w:tcPr>
          <w:p w14:paraId="3DE7AD3A" w14:textId="77777777" w:rsidR="008423E4" w:rsidRPr="00A8133F" w:rsidRDefault="000D71D3" w:rsidP="00394D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ED694D" w14:textId="77777777" w:rsidR="008423E4" w:rsidRDefault="008423E4" w:rsidP="00394DF8"/>
          <w:p w14:paraId="219D6210" w14:textId="784823F2" w:rsidR="009F0EE4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960C8">
              <w:t>C.S.</w:t>
            </w:r>
            <w:r w:rsidR="0019099D" w:rsidRPr="007960C8">
              <w:t>H.B.</w:t>
            </w:r>
            <w:r w:rsidR="00897956" w:rsidRPr="007960C8">
              <w:t xml:space="preserve"> 3820</w:t>
            </w:r>
            <w:r w:rsidR="001470DA" w:rsidRPr="007960C8">
              <w:t xml:space="preserve"> amends the Family Code to </w:t>
            </w:r>
            <w:r w:rsidR="00990E1A" w:rsidRPr="007960C8">
              <w:t>include a</w:t>
            </w:r>
            <w:r w:rsidR="005103D1" w:rsidRPr="007960C8">
              <w:t xml:space="preserve"> licensed</w:t>
            </w:r>
            <w:r w:rsidR="00990E1A" w:rsidRPr="007960C8">
              <w:t xml:space="preserve"> orthopedist </w:t>
            </w:r>
            <w:r w:rsidR="005103D1" w:rsidRPr="007960C8">
              <w:t xml:space="preserve">board certified in a relevant field or specialty </w:t>
            </w:r>
            <w:r w:rsidR="00990E1A" w:rsidRPr="007960C8">
              <w:t xml:space="preserve">among the </w:t>
            </w:r>
            <w:r w:rsidR="00DD3BE4" w:rsidRPr="007960C8">
              <w:t>physicians</w:t>
            </w:r>
            <w:r w:rsidR="00990E1A" w:rsidRPr="007960C8">
              <w:t xml:space="preserve"> </w:t>
            </w:r>
            <w:r w:rsidR="005B7BAE" w:rsidRPr="007960C8">
              <w:t xml:space="preserve">who are </w:t>
            </w:r>
            <w:r w:rsidR="00F9416F" w:rsidRPr="007960C8">
              <w:t>eligible for</w:t>
            </w:r>
            <w:r w:rsidR="00990E1A" w:rsidRPr="007960C8">
              <w:t xml:space="preserve"> consult</w:t>
            </w:r>
            <w:r w:rsidR="00F9416F" w:rsidRPr="007960C8">
              <w:t>ation</w:t>
            </w:r>
            <w:r w:rsidR="00990E1A" w:rsidRPr="007960C8">
              <w:t xml:space="preserve"> with the Forensic Assessment Center Network and </w:t>
            </w:r>
            <w:r w:rsidR="00166A1E" w:rsidRPr="007960C8">
              <w:t xml:space="preserve">the Texas </w:t>
            </w:r>
            <w:r w:rsidR="00E80609" w:rsidRPr="007960C8">
              <w:t>M</w:t>
            </w:r>
            <w:r w:rsidR="00166A1E" w:rsidRPr="007960C8">
              <w:t xml:space="preserve">edical </w:t>
            </w:r>
            <w:r w:rsidR="00E80609" w:rsidRPr="007960C8">
              <w:t>C</w:t>
            </w:r>
            <w:r w:rsidR="00166A1E" w:rsidRPr="007960C8">
              <w:t xml:space="preserve">hild </w:t>
            </w:r>
            <w:r w:rsidR="00E80609" w:rsidRPr="007960C8">
              <w:t>A</w:t>
            </w:r>
            <w:r w:rsidR="00166A1E" w:rsidRPr="007960C8">
              <w:t xml:space="preserve">buse </w:t>
            </w:r>
            <w:r w:rsidR="00E80609" w:rsidRPr="007960C8">
              <w:t>R</w:t>
            </w:r>
            <w:r w:rsidR="00166A1E" w:rsidRPr="007960C8">
              <w:t xml:space="preserve">esources and </w:t>
            </w:r>
            <w:r w:rsidR="00E80609" w:rsidRPr="007960C8">
              <w:t>E</w:t>
            </w:r>
            <w:r w:rsidR="00166A1E" w:rsidRPr="007960C8">
              <w:t xml:space="preserve">ducation </w:t>
            </w:r>
            <w:r w:rsidR="00E80609" w:rsidRPr="007960C8">
              <w:t>S</w:t>
            </w:r>
            <w:r w:rsidR="00166A1E" w:rsidRPr="007960C8">
              <w:t>ystem (MEDCARES) under an</w:t>
            </w:r>
            <w:r w:rsidR="00F81F8C" w:rsidRPr="007960C8">
              <w:t xml:space="preserve"> agreement </w:t>
            </w:r>
            <w:r w:rsidR="00166A1E" w:rsidRPr="007960C8">
              <w:t>with</w:t>
            </w:r>
            <w:r w:rsidR="00F81F8C" w:rsidRPr="007960C8">
              <w:t xml:space="preserve"> the Department of Family and Protective Services (DFPS) to provide assistance in connection with abuse and neglect investigations conducted by DFPS</w:t>
            </w:r>
            <w:r w:rsidR="004435FA" w:rsidRPr="007960C8">
              <w:t>.</w:t>
            </w:r>
            <w:r w:rsidR="001B1CAC">
              <w:t xml:space="preserve"> </w:t>
            </w:r>
            <w:r w:rsidR="00DD3BE4">
              <w:t xml:space="preserve">The bill </w:t>
            </w:r>
            <w:r w:rsidR="00A22FAC">
              <w:t>specifies</w:t>
            </w:r>
            <w:r w:rsidR="00DD3BE4">
              <w:t xml:space="preserve"> that </w:t>
            </w:r>
            <w:r w:rsidR="006378C3">
              <w:t>the</w:t>
            </w:r>
            <w:r w:rsidR="00DD3BE4">
              <w:t xml:space="preserve"> consultation is </w:t>
            </w:r>
            <w:r w:rsidR="006378C3">
              <w:t>for the</w:t>
            </w:r>
            <w:r w:rsidR="00DD3BE4">
              <w:t xml:space="preserve"> diagnos</w:t>
            </w:r>
            <w:r w:rsidR="006378C3">
              <w:t>is</w:t>
            </w:r>
            <w:r w:rsidR="00DD3BE4">
              <w:t xml:space="preserve"> and treat</w:t>
            </w:r>
            <w:r w:rsidR="006378C3">
              <w:t>ment of</w:t>
            </w:r>
            <w:r w:rsidR="00DD3BE4">
              <w:t xml:space="preserve"> certain unique health conditions</w:t>
            </w:r>
            <w:r w:rsidR="006378C3">
              <w:t>.</w:t>
            </w:r>
            <w:r w:rsidR="00DD3BE4">
              <w:t xml:space="preserve"> </w:t>
            </w:r>
            <w:r w:rsidR="006378C3">
              <w:t>The bill revises those conditions to include</w:t>
            </w:r>
            <w:r w:rsidR="00A22FAC">
              <w:t xml:space="preserve"> </w:t>
            </w:r>
            <w:r w:rsidR="00824E46">
              <w:t>medical conditions that mimic child maltreatment or increase the risk of misdiagnosis of child maltreatment</w:t>
            </w:r>
            <w:r w:rsidR="006378C3">
              <w:t xml:space="preserve"> and </w:t>
            </w:r>
            <w:r w:rsidR="00711FD1">
              <w:t xml:space="preserve">to </w:t>
            </w:r>
            <w:r w:rsidR="006378C3">
              <w:t>remove similar metabolic bone diseases or connective tissue disorders</w:t>
            </w:r>
            <w:r w:rsidR="00824E46">
              <w:t xml:space="preserve">. </w:t>
            </w:r>
          </w:p>
          <w:p w14:paraId="5846F6B1" w14:textId="77777777" w:rsidR="009F0EE4" w:rsidRDefault="009F0EE4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167C6D" w14:textId="12F1A0C1" w:rsidR="00897956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F0EE4">
              <w:t>H.B. 3820</w:t>
            </w:r>
            <w:r w:rsidR="00574E96">
              <w:t xml:space="preserve"> </w:t>
            </w:r>
            <w:r w:rsidR="00D6365D">
              <w:t xml:space="preserve">replaces </w:t>
            </w:r>
            <w:r w:rsidR="00B44777">
              <w:t>a requirement</w:t>
            </w:r>
            <w:r w:rsidR="00D6365D">
              <w:t xml:space="preserve"> for DFPS </w:t>
            </w:r>
            <w:r w:rsidR="007960C8">
              <w:t xml:space="preserve">or a network physician </w:t>
            </w:r>
            <w:r w:rsidR="00D6365D">
              <w:t xml:space="preserve">to refer a child's case to MEDCARES </w:t>
            </w:r>
            <w:r w:rsidR="00B44777">
              <w:t xml:space="preserve">for a consultation </w:t>
            </w:r>
            <w:r w:rsidR="00D6365D">
              <w:t xml:space="preserve">under certain circumstances with a requirement for </w:t>
            </w:r>
            <w:r w:rsidR="00520E42">
              <w:t>DFPS to refer a child's case for a specialty consultation</w:t>
            </w:r>
            <w:r w:rsidR="00552484">
              <w:t xml:space="preserve"> </w:t>
            </w:r>
            <w:r w:rsidR="00166A1E">
              <w:t xml:space="preserve">on determining that such a consultation is required, on the recommendation of </w:t>
            </w:r>
            <w:r w:rsidR="00520E42">
              <w:t xml:space="preserve">the child's primary care physician or other </w:t>
            </w:r>
            <w:r w:rsidR="00700134">
              <w:t xml:space="preserve">primary </w:t>
            </w:r>
            <w:r w:rsidR="00520E42">
              <w:t>health care provider who provided health care or treatment or otherwise evaluated the child</w:t>
            </w:r>
            <w:r w:rsidR="00166A1E">
              <w:t>,</w:t>
            </w:r>
            <w:r w:rsidR="00520E42">
              <w:t xml:space="preserve"> </w:t>
            </w:r>
            <w:r w:rsidR="00166A1E">
              <w:t>or at the request of</w:t>
            </w:r>
            <w:r w:rsidR="00520E42">
              <w:t xml:space="preserve"> the child's parent or legal guardian or the attorney of the parent or guardian</w:t>
            </w:r>
            <w:r w:rsidR="00E748DF">
              <w:t>.</w:t>
            </w:r>
            <w:r w:rsidR="001B1CAC">
              <w:t xml:space="preserve"> </w:t>
            </w:r>
            <w:r w:rsidR="00875F3E">
              <w:t xml:space="preserve">The case must be referred to a physician who is licensed to practice medicine in Texas under the Medical Practice Act, is board certified in a relevant field or specialty, and was not involved with the report of suspected abuse or neglect. </w:t>
            </w:r>
          </w:p>
          <w:p w14:paraId="7412C929" w14:textId="77777777" w:rsidR="00897956" w:rsidRDefault="00897956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8DEC2C" w14:textId="54C3EC20" w:rsidR="004E7639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With respect to </w:t>
            </w:r>
            <w:r w:rsidR="005103D1">
              <w:t>that</w:t>
            </w:r>
            <w:r>
              <w:t xml:space="preserve"> referral, </w:t>
            </w:r>
            <w:r w:rsidR="00AD1772">
              <w:t>C.S.</w:t>
            </w:r>
            <w:r>
              <w:t>H.B. 3820 does the following:</w:t>
            </w:r>
            <w:r w:rsidR="001B1CAC">
              <w:t xml:space="preserve"> </w:t>
            </w:r>
          </w:p>
          <w:p w14:paraId="17019EB7" w14:textId="5AB0BDA4" w:rsidR="00320D1A" w:rsidRDefault="000D71D3" w:rsidP="00394DF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DFPS, before</w:t>
            </w:r>
            <w:r w:rsidR="00552484">
              <w:t xml:space="preserve"> making </w:t>
            </w:r>
            <w:r w:rsidR="004E7639">
              <w:t>the</w:t>
            </w:r>
            <w:r w:rsidR="00552484">
              <w:t xml:space="preserve"> referral</w:t>
            </w:r>
            <w:r>
              <w:t xml:space="preserve">, to </w:t>
            </w:r>
            <w:r w:rsidRPr="001B1CAC">
              <w:t>provide to the child's parent or legal guardian</w:t>
            </w:r>
            <w:r w:rsidRPr="001B1CAC">
              <w:t xml:space="preserve"> </w:t>
            </w:r>
            <w:r w:rsidR="00695B03">
              <w:t>o</w:t>
            </w:r>
            <w:r w:rsidR="00EE451B">
              <w:t>r</w:t>
            </w:r>
            <w:r w:rsidR="00695B03">
              <w:t xml:space="preserve">, </w:t>
            </w:r>
            <w:r w:rsidR="00695B03" w:rsidRPr="008210B0">
              <w:t xml:space="preserve">if represented by </w:t>
            </w:r>
            <w:r w:rsidRPr="008210B0">
              <w:t>an attorney</w:t>
            </w:r>
            <w:r w:rsidR="00695B03" w:rsidRPr="008210B0">
              <w:t>,</w:t>
            </w:r>
            <w:r w:rsidR="00695B03">
              <w:t xml:space="preserve"> the attorney</w:t>
            </w:r>
            <w:r w:rsidRPr="001B1CAC">
              <w:t xml:space="preserve"> of the parent or </w:t>
            </w:r>
            <w:r w:rsidR="00695B03">
              <w:t xml:space="preserve">legal </w:t>
            </w:r>
            <w:r w:rsidRPr="001B1CAC">
              <w:t>guardian written notice of the name, contact information, and credentials of the specialist</w:t>
            </w:r>
            <w:r w:rsidR="004E7639">
              <w:t>;</w:t>
            </w:r>
            <w:r w:rsidR="00D62CF8">
              <w:t xml:space="preserve"> </w:t>
            </w:r>
          </w:p>
          <w:p w14:paraId="0E1D9D11" w14:textId="4BFB02F3" w:rsidR="004E7639" w:rsidRDefault="000D71D3" w:rsidP="00394DF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the parent, legal guardian, or attorney, as applicable, to object to the proposed referral and request referral to another specialist; and</w:t>
            </w:r>
          </w:p>
          <w:p w14:paraId="55072EB3" w14:textId="31D4156D" w:rsidR="004E7639" w:rsidRDefault="000D71D3" w:rsidP="00394DF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</w:t>
            </w:r>
            <w:r w:rsidR="00981CBD" w:rsidRPr="00981CBD">
              <w:t xml:space="preserve"> </w:t>
            </w:r>
            <w:r>
              <w:t xml:space="preserve">DFPS and </w:t>
            </w:r>
            <w:r w:rsidR="00981CBD">
              <w:t xml:space="preserve">the </w:t>
            </w:r>
            <w:r>
              <w:t>parent</w:t>
            </w:r>
            <w:r w:rsidR="00280CD0">
              <w:t>,</w:t>
            </w:r>
            <w:r>
              <w:t xml:space="preserve"> </w:t>
            </w:r>
            <w:r w:rsidR="001C0795">
              <w:t xml:space="preserve">legal </w:t>
            </w:r>
            <w:r>
              <w:t>guardian</w:t>
            </w:r>
            <w:r w:rsidR="00280CD0">
              <w:t>, or attorney, as applicable,</w:t>
            </w:r>
            <w:r w:rsidR="00981CBD">
              <w:t xml:space="preserve"> </w:t>
            </w:r>
            <w:r>
              <w:t xml:space="preserve">to </w:t>
            </w:r>
            <w:r w:rsidRPr="001B1CAC">
              <w:t xml:space="preserve">collaborate in good faith to </w:t>
            </w:r>
            <w:r w:rsidR="00280CD0">
              <w:t>select an</w:t>
            </w:r>
            <w:r w:rsidRPr="001B1CAC">
              <w:t xml:space="preserve"> acceptable specialist </w:t>
            </w:r>
            <w:r w:rsidR="00280CD0">
              <w:t xml:space="preserve">from </w:t>
            </w:r>
            <w:r w:rsidR="001C0795">
              <w:t>the</w:t>
            </w:r>
            <w:r w:rsidR="00280CD0">
              <w:t xml:space="preserve"> proposed</w:t>
            </w:r>
            <w:r w:rsidR="001C0795">
              <w:t xml:space="preserve"> specialist</w:t>
            </w:r>
            <w:r w:rsidR="00EE451B">
              <w:t>s</w:t>
            </w:r>
            <w:r w:rsidRPr="001B1CAC">
              <w:t>.</w:t>
            </w:r>
            <w:r>
              <w:t xml:space="preserve"> </w:t>
            </w:r>
          </w:p>
          <w:p w14:paraId="5B72439D" w14:textId="49D696E2" w:rsidR="00520E42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</w:t>
            </w:r>
            <w:r w:rsidR="003678A4">
              <w:t xml:space="preserve">these </w:t>
            </w:r>
            <w:r>
              <w:t>provisions</w:t>
            </w:r>
            <w:r w:rsidR="00981CBD">
              <w:t xml:space="preserve"> </w:t>
            </w:r>
            <w:r>
              <w:t xml:space="preserve">from being construed to </w:t>
            </w:r>
            <w:r w:rsidRPr="001B1CAC">
              <w:t>prohibit a child's parent</w:t>
            </w:r>
            <w:r w:rsidR="00292826">
              <w:t>,</w:t>
            </w:r>
            <w:r w:rsidRPr="001B1CAC">
              <w:t xml:space="preserve"> legal</w:t>
            </w:r>
            <w:r w:rsidR="00292826">
              <w:t> </w:t>
            </w:r>
            <w:r w:rsidRPr="001B1CAC">
              <w:t>guardian</w:t>
            </w:r>
            <w:r w:rsidR="00292826">
              <w:t>,</w:t>
            </w:r>
            <w:r w:rsidR="00404E99">
              <w:t xml:space="preserve"> or</w:t>
            </w:r>
            <w:r w:rsidR="00B22277">
              <w:t xml:space="preserve"> an</w:t>
            </w:r>
            <w:r w:rsidR="00404E99">
              <w:t xml:space="preserve"> applicable attorney</w:t>
            </w:r>
            <w:r w:rsidRPr="001B1CAC">
              <w:t xml:space="preserve"> from </w:t>
            </w:r>
            <w:r w:rsidR="00404E99">
              <w:t xml:space="preserve">otherwise </w:t>
            </w:r>
            <w:r w:rsidRPr="001B1CAC">
              <w:t>obtaining a</w:t>
            </w:r>
            <w:r w:rsidR="00404E99">
              <w:t>n</w:t>
            </w:r>
            <w:r w:rsidRPr="001B1CAC">
              <w:t xml:space="preserve"> </w:t>
            </w:r>
            <w:r w:rsidR="00404E99">
              <w:t>alternative</w:t>
            </w:r>
            <w:r w:rsidR="00404E99" w:rsidRPr="001B1CAC">
              <w:t xml:space="preserve"> </w:t>
            </w:r>
            <w:r w:rsidRPr="001B1CAC">
              <w:t xml:space="preserve">opinion </w:t>
            </w:r>
            <w:r w:rsidR="00404E99">
              <w:t xml:space="preserve">at </w:t>
            </w:r>
            <w:r w:rsidR="00AD3EED" w:rsidRPr="00AD3EED">
              <w:t>the parent's, legal guardian's, or attorney's</w:t>
            </w:r>
            <w:r w:rsidR="00AD3EED">
              <w:t xml:space="preserve"> </w:t>
            </w:r>
            <w:r w:rsidR="00404E99">
              <w:t>own initiative and expense</w:t>
            </w:r>
            <w:r w:rsidRPr="001B1CAC">
              <w:t>.</w:t>
            </w:r>
            <w:r w:rsidR="00864369">
              <w:t xml:space="preserve"> The bill </w:t>
            </w:r>
            <w:r w:rsidR="00743E35">
              <w:t>requires</w:t>
            </w:r>
            <w:r w:rsidR="00864369">
              <w:t xml:space="preserve"> </w:t>
            </w:r>
            <w:r w:rsidR="00F26823">
              <w:t xml:space="preserve">DFPS </w:t>
            </w:r>
            <w:r w:rsidR="00864369">
              <w:t xml:space="preserve">to </w:t>
            </w:r>
            <w:r w:rsidR="00864369" w:rsidRPr="00864369">
              <w:t>accept and consider</w:t>
            </w:r>
            <w:r w:rsidR="00864369">
              <w:t xml:space="preserve"> an alternative opinion and to</w:t>
            </w:r>
            <w:r w:rsidR="00864369" w:rsidRPr="00864369">
              <w:t xml:space="preserve"> document its analysis and determinations regarding the opinion.</w:t>
            </w:r>
          </w:p>
          <w:p w14:paraId="55A74AA3" w14:textId="77777777" w:rsidR="004435FA" w:rsidRDefault="004435FA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2917F08" w14:textId="21811043" w:rsidR="007E306C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With</w:t>
            </w:r>
            <w:r w:rsidR="004E7639">
              <w:t xml:space="preserve"> respect to the mitigation of </w:t>
            </w:r>
            <w:r>
              <w:t xml:space="preserve">provider conflicts in investigation consultations, </w:t>
            </w:r>
            <w:r w:rsidR="00AD1772">
              <w:t>C.S.</w:t>
            </w:r>
            <w:r>
              <w:t>H.B. 3820 does the following:</w:t>
            </w:r>
            <w:r w:rsidR="00E6005C" w:rsidRPr="00E6005C">
              <w:t xml:space="preserve"> </w:t>
            </w:r>
          </w:p>
          <w:p w14:paraId="363BD270" w14:textId="7B09C91A" w:rsidR="007E306C" w:rsidRDefault="000D71D3" w:rsidP="00394DF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prohibit</w:t>
            </w:r>
            <w:r w:rsidR="00E6005C">
              <w:t>s</w:t>
            </w:r>
            <w:r>
              <w:t xml:space="preserve"> a</w:t>
            </w:r>
            <w:r w:rsidR="002118A6">
              <w:t xml:space="preserve"> </w:t>
            </w:r>
            <w:r>
              <w:t xml:space="preserve">health </w:t>
            </w:r>
            <w:r w:rsidRPr="001470DA">
              <w:t xml:space="preserve">care </w:t>
            </w:r>
            <w:r w:rsidR="002375EC">
              <w:t>practitioner</w:t>
            </w:r>
            <w:r w:rsidR="002375EC" w:rsidRPr="001470DA">
              <w:t xml:space="preserve"> </w:t>
            </w:r>
            <w:r w:rsidRPr="001470DA">
              <w:t xml:space="preserve">who reports the suspected abuse or neglect of a child </w:t>
            </w:r>
            <w:r w:rsidR="00003068">
              <w:t xml:space="preserve">from </w:t>
            </w:r>
            <w:r w:rsidR="00BD0F9C">
              <w:t xml:space="preserve">providing forensic assessment services </w:t>
            </w:r>
            <w:r w:rsidR="003C44DB">
              <w:t xml:space="preserve">in connection with an investigation resulting from the report </w:t>
            </w:r>
            <w:r w:rsidR="004435FA" w:rsidRPr="004435FA">
              <w:t xml:space="preserve">regardless of whether the </w:t>
            </w:r>
            <w:r w:rsidR="003C44DB">
              <w:t>practitioner</w:t>
            </w:r>
            <w:r w:rsidR="003C44DB" w:rsidRPr="004435FA">
              <w:t xml:space="preserve"> </w:t>
            </w:r>
            <w:r w:rsidR="004435FA" w:rsidRPr="004435FA">
              <w:t>is a member</w:t>
            </w:r>
            <w:r w:rsidR="004435FA">
              <w:t xml:space="preserve"> of </w:t>
            </w:r>
            <w:r w:rsidR="004435FA" w:rsidRPr="001A16F4">
              <w:t xml:space="preserve">the </w:t>
            </w:r>
            <w:r w:rsidR="00F9416F" w:rsidRPr="001A16F4">
              <w:t>n</w:t>
            </w:r>
            <w:r w:rsidR="00106214" w:rsidRPr="001A16F4">
              <w:t>etwork</w:t>
            </w:r>
            <w:r w:rsidR="004435FA">
              <w:t xml:space="preserve"> or </w:t>
            </w:r>
            <w:r w:rsidR="004435FA" w:rsidRPr="004435FA">
              <w:t>MEDCARES</w:t>
            </w:r>
            <w:r>
              <w:t xml:space="preserve">; </w:t>
            </w:r>
            <w:r w:rsidR="00D62CF8">
              <w:t>and</w:t>
            </w:r>
          </w:p>
          <w:p w14:paraId="04B16C4F" w14:textId="7063E369" w:rsidR="007E306C" w:rsidRDefault="000D71D3" w:rsidP="00394DF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7F1B43">
              <w:t>DFPS, when referring a case for forensic assessment, to refer the</w:t>
            </w:r>
            <w:r w:rsidR="00A37FB3">
              <w:t xml:space="preserve"> case to a physician authorized to practice medicine in Texas under the </w:t>
            </w:r>
            <w:r w:rsidR="00A37FB3" w:rsidRPr="00A37FB3">
              <w:t>Medical Practice Act</w:t>
            </w:r>
            <w:r w:rsidR="007F1B43">
              <w:t xml:space="preserve"> </w:t>
            </w:r>
            <w:r w:rsidR="00990468">
              <w:t>who was not involved with the report</w:t>
            </w:r>
            <w:r w:rsidR="00BC1861">
              <w:t xml:space="preserve"> </w:t>
            </w:r>
            <w:r w:rsidR="00BC1861" w:rsidRPr="00BC1861">
              <w:t>of suspected abuse or neglect</w:t>
            </w:r>
            <w:r w:rsidR="00D62CF8">
              <w:t>.</w:t>
            </w:r>
          </w:p>
          <w:p w14:paraId="58547C00" w14:textId="079EEA3D" w:rsidR="00EA1450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5F69E7">
              <w:t>defines "forensic assessment"</w:t>
            </w:r>
            <w:r>
              <w:t xml:space="preserve"> as</w:t>
            </w:r>
            <w:r w:rsidR="005F69E7">
              <w:t xml:space="preserve"> </w:t>
            </w:r>
            <w:r w:rsidRPr="00EA1450">
              <w:t xml:space="preserve">a medical examination, psychosocial evaluation, medical case review, specialty evaluation, or other forensic evaluation </w:t>
            </w:r>
            <w:r w:rsidRPr="00EA1450">
              <w:t>service conducted by a physician in connection with any investigation of a suspected case of abuse or neglect for the primary purpose of providing the department, law enforcement, or the court with expert advice, recommendations, or testimony on the case.</w:t>
            </w:r>
            <w:r>
              <w:t xml:space="preserve"> </w:t>
            </w:r>
            <w:r>
              <w:t xml:space="preserve">The bill defines "health care practitioner" as </w:t>
            </w:r>
            <w:r w:rsidRPr="00EA1450">
              <w:t>an individual licensed, certified, or otherwise authorized to administer health care services in the ordinary course of business or professional practice. The term includes a physician, medical student, reside</w:t>
            </w:r>
            <w:r w:rsidRPr="00EA1450">
              <w:t>nt physician, child abuse fellow, advanced practice registered nurse, nurse, and physician assistant.</w:t>
            </w:r>
            <w:r>
              <w:t xml:space="preserve"> The bill defines "network" and "system" by reference.</w:t>
            </w:r>
          </w:p>
          <w:p w14:paraId="5143E10E" w14:textId="77777777" w:rsidR="00EA1450" w:rsidRDefault="00EA1450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116675" w14:textId="67BA84D7" w:rsidR="00CC3C50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3820 </w:t>
            </w:r>
            <w:r w:rsidR="008D2ADE">
              <w:t xml:space="preserve">prohibits </w:t>
            </w:r>
            <w:r w:rsidR="003678A4">
              <w:t xml:space="preserve">these </w:t>
            </w:r>
            <w:r w:rsidR="008D2ADE">
              <w:t xml:space="preserve">provisions from being construed to prohibit DFPS from interviewing the </w:t>
            </w:r>
            <w:r w:rsidR="00BC1861" w:rsidRPr="00BC1861">
              <w:t xml:space="preserve">health care </w:t>
            </w:r>
            <w:r w:rsidR="008D2ADE">
              <w:t>practitioner in the practitioner's capacity as a principal or collateral source or otherwise restrict the ability of DFPS to conduct an investigation of a report of child abuse or neglect.</w:t>
            </w:r>
            <w:r w:rsidR="008F4791">
              <w:t xml:space="preserve"> </w:t>
            </w:r>
          </w:p>
          <w:p w14:paraId="623A0CD8" w14:textId="77777777" w:rsidR="008423E4" w:rsidRPr="00835628" w:rsidRDefault="008423E4" w:rsidP="00394DF8">
            <w:pPr>
              <w:rPr>
                <w:b/>
              </w:rPr>
            </w:pPr>
          </w:p>
        </w:tc>
      </w:tr>
      <w:tr w:rsidR="00CB3B2D" w14:paraId="74674E73" w14:textId="77777777" w:rsidTr="00345119">
        <w:tc>
          <w:tcPr>
            <w:tcW w:w="9576" w:type="dxa"/>
          </w:tcPr>
          <w:p w14:paraId="2108B812" w14:textId="77777777" w:rsidR="008423E4" w:rsidRPr="00A8133F" w:rsidRDefault="000D71D3" w:rsidP="00394D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68A42BC" w14:textId="77777777" w:rsidR="008423E4" w:rsidRDefault="008423E4" w:rsidP="00394DF8"/>
          <w:p w14:paraId="612F08FA" w14:textId="2CC40708" w:rsidR="008423E4" w:rsidRPr="003624F2" w:rsidRDefault="000D71D3" w:rsidP="00394D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7E306C">
              <w:t>21</w:t>
            </w:r>
            <w:r>
              <w:t>.</w:t>
            </w:r>
          </w:p>
          <w:p w14:paraId="64784120" w14:textId="77777777" w:rsidR="008423E4" w:rsidRPr="00233FDB" w:rsidRDefault="008423E4" w:rsidP="00394DF8">
            <w:pPr>
              <w:rPr>
                <w:b/>
              </w:rPr>
            </w:pPr>
          </w:p>
        </w:tc>
      </w:tr>
      <w:tr w:rsidR="00CB3B2D" w14:paraId="0F1A60BC" w14:textId="77777777" w:rsidTr="00345119">
        <w:tc>
          <w:tcPr>
            <w:tcW w:w="9576" w:type="dxa"/>
          </w:tcPr>
          <w:p w14:paraId="407121B6" w14:textId="77777777" w:rsidR="00636BEA" w:rsidRDefault="000D71D3" w:rsidP="00636BE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</w:t>
            </w:r>
            <w:r>
              <w:rPr>
                <w:b/>
                <w:u w:val="single"/>
              </w:rPr>
              <w:t>F ORIGINAL AND SUBSTITUTE</w:t>
            </w:r>
          </w:p>
          <w:p w14:paraId="342BCB13" w14:textId="34190F6A" w:rsidR="00503A24" w:rsidRPr="00636BEA" w:rsidRDefault="00503A24" w:rsidP="00636BEA">
            <w:pPr>
              <w:jc w:val="both"/>
              <w:rPr>
                <w:b/>
                <w:u w:val="single"/>
              </w:rPr>
            </w:pPr>
          </w:p>
        </w:tc>
      </w:tr>
      <w:tr w:rsidR="00CB3B2D" w14:paraId="2C42D032" w14:textId="77777777" w:rsidTr="00345119">
        <w:tc>
          <w:tcPr>
            <w:tcW w:w="9576" w:type="dxa"/>
          </w:tcPr>
          <w:p w14:paraId="0D301015" w14:textId="77777777" w:rsidR="00590963" w:rsidRDefault="000D71D3" w:rsidP="00590963">
            <w:pPr>
              <w:jc w:val="both"/>
            </w:pPr>
            <w:r>
              <w:t>While C.S.H.B. 3820 may differ from the original in minor or nonsubstantive ways, the following summarizes the substantial differences between the introduced and committee substitute versions of the bill.</w:t>
            </w:r>
          </w:p>
          <w:p w14:paraId="07E59F11" w14:textId="77777777" w:rsidR="00590963" w:rsidRDefault="00590963" w:rsidP="00590963">
            <w:pPr>
              <w:jc w:val="both"/>
            </w:pPr>
          </w:p>
          <w:p w14:paraId="0F1413D0" w14:textId="77777777" w:rsidR="00590963" w:rsidRDefault="000D71D3" w:rsidP="00590963">
            <w:pPr>
              <w:jc w:val="both"/>
            </w:pPr>
            <w:r>
              <w:t xml:space="preserve">The substitute does </w:t>
            </w:r>
            <w:r>
              <w:t>not include the following provisions that were contained in the original:</w:t>
            </w:r>
          </w:p>
          <w:p w14:paraId="1048D4BA" w14:textId="77777777" w:rsidR="00590963" w:rsidRDefault="000D71D3" w:rsidP="0059096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an</w:t>
            </w:r>
            <w:r w:rsidRPr="00C6277B">
              <w:t xml:space="preserve"> au</w:t>
            </w:r>
            <w:r>
              <w:t>thorization for</w:t>
            </w:r>
            <w:r w:rsidRPr="00C6277B">
              <w:t xml:space="preserve"> DFPS</w:t>
            </w:r>
            <w:r>
              <w:t>, if a parent, legal guardian, or attorney requests referral to another specialist,</w:t>
            </w:r>
            <w:r w:rsidRPr="00C6277B">
              <w:t xml:space="preserve"> </w:t>
            </w:r>
            <w:r w:rsidRPr="006726B9">
              <w:t xml:space="preserve">to object to </w:t>
            </w:r>
            <w:r>
              <w:t>that proposed</w:t>
            </w:r>
            <w:r w:rsidRPr="006726B9">
              <w:t xml:space="preserve"> specialist and propose two alternative special</w:t>
            </w:r>
            <w:r w:rsidRPr="006726B9">
              <w:t>ists;</w:t>
            </w:r>
          </w:p>
          <w:p w14:paraId="5515A5F5" w14:textId="77777777" w:rsidR="00590963" w:rsidRDefault="000D71D3" w:rsidP="0059096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</w:t>
            </w:r>
            <w:r w:rsidRPr="0083728E">
              <w:t>require</w:t>
            </w:r>
            <w:r>
              <w:t>ment for</w:t>
            </w:r>
            <w:r w:rsidRPr="0083728E">
              <w:t xml:space="preserve"> </w:t>
            </w:r>
            <w:r>
              <w:t>DFPS</w:t>
            </w:r>
            <w:r w:rsidRPr="0083728E">
              <w:t xml:space="preserve"> to refer a case in which two physicians' opinions conflict concerning whether a child's injuries or symptoms were the result of abuse or neglect to the </w:t>
            </w:r>
            <w:r>
              <w:t>Department of State Health Services (</w:t>
            </w:r>
            <w:r w:rsidRPr="0083728E">
              <w:t>DSHS</w:t>
            </w:r>
            <w:r>
              <w:t>)</w:t>
            </w:r>
            <w:r w:rsidRPr="0083728E">
              <w:t xml:space="preserve"> medical advisory board for independent evaluation</w:t>
            </w:r>
            <w:r>
              <w:t>; and</w:t>
            </w:r>
          </w:p>
          <w:p w14:paraId="3A8C7F4C" w14:textId="77777777" w:rsidR="00590963" w:rsidRDefault="000D71D3" w:rsidP="00590963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 requirement for</w:t>
            </w:r>
            <w:r w:rsidRPr="0083728E">
              <w:t xml:space="preserve"> the DSHS medical advisory board to assist DFPS in reviewing suspected cases of abuse or neglect in which the conclusion of a forensic assessment conducted in connection with an inves</w:t>
            </w:r>
            <w:r w:rsidRPr="0083728E">
              <w:t>tigation by DFPS conflicts with the opinion of another qualified medical professional who examined or treated the child concerning whether a child's injuries or symptoms were the result of abuse or neglect.</w:t>
            </w:r>
          </w:p>
          <w:p w14:paraId="3AFC518A" w14:textId="77777777" w:rsidR="00590963" w:rsidRDefault="00590963" w:rsidP="00590963">
            <w:pPr>
              <w:jc w:val="both"/>
            </w:pPr>
          </w:p>
          <w:p w14:paraId="3E28549D" w14:textId="7CD0E72F" w:rsidR="00636BEA" w:rsidRDefault="000D71D3" w:rsidP="00590963">
            <w:pPr>
              <w:jc w:val="both"/>
              <w:rPr>
                <w:b/>
                <w:u w:val="single"/>
              </w:rPr>
            </w:pPr>
            <w:r>
              <w:t>The substitute revises the definition of "forens</w:t>
            </w:r>
            <w:r>
              <w:t>ic assessment" added by the original to specify that it only includes services conducted under provisions relating to specialty consultations for certain unique health conditions.</w:t>
            </w:r>
          </w:p>
        </w:tc>
      </w:tr>
      <w:tr w:rsidR="00CB3B2D" w14:paraId="0E4EC160" w14:textId="77777777" w:rsidTr="00345119">
        <w:tc>
          <w:tcPr>
            <w:tcW w:w="9576" w:type="dxa"/>
          </w:tcPr>
          <w:p w14:paraId="002B0AEC" w14:textId="77777777" w:rsidR="00636BEA" w:rsidRPr="00636BEA" w:rsidRDefault="00636BEA" w:rsidP="00636BEA">
            <w:pPr>
              <w:spacing w:line="480" w:lineRule="auto"/>
              <w:jc w:val="both"/>
            </w:pPr>
          </w:p>
        </w:tc>
      </w:tr>
      <w:tr w:rsidR="00CB3B2D" w14:paraId="69C13076" w14:textId="77777777" w:rsidTr="00345119">
        <w:tc>
          <w:tcPr>
            <w:tcW w:w="9576" w:type="dxa"/>
          </w:tcPr>
          <w:p w14:paraId="628D8200" w14:textId="77777777" w:rsidR="00636BEA" w:rsidRDefault="00636BEA" w:rsidP="00394DF8">
            <w:pPr>
              <w:jc w:val="both"/>
              <w:rPr>
                <w:b/>
                <w:u w:val="single"/>
              </w:rPr>
            </w:pPr>
          </w:p>
        </w:tc>
      </w:tr>
    </w:tbl>
    <w:p w14:paraId="4CC4C5F7" w14:textId="345C4F5A" w:rsidR="004108C3" w:rsidRPr="008423E4" w:rsidRDefault="004108C3" w:rsidP="00394DF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2ED7" w14:textId="77777777" w:rsidR="00000000" w:rsidRDefault="000D71D3">
      <w:r>
        <w:separator/>
      </w:r>
    </w:p>
  </w:endnote>
  <w:endnote w:type="continuationSeparator" w:id="0">
    <w:p w14:paraId="581FB18E" w14:textId="77777777" w:rsidR="00000000" w:rsidRDefault="000D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FFA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B3B2D" w14:paraId="5F710088" w14:textId="77777777" w:rsidTr="009C1E9A">
      <w:trPr>
        <w:cantSplit/>
      </w:trPr>
      <w:tc>
        <w:tcPr>
          <w:tcW w:w="0" w:type="pct"/>
        </w:tcPr>
        <w:p w14:paraId="7F2490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BD27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9124C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3C99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CA0D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3B2D" w14:paraId="044C5B19" w14:textId="77777777" w:rsidTr="009C1E9A">
      <w:trPr>
        <w:cantSplit/>
      </w:trPr>
      <w:tc>
        <w:tcPr>
          <w:tcW w:w="0" w:type="pct"/>
        </w:tcPr>
        <w:p w14:paraId="0D2E52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248935" w14:textId="20840413" w:rsidR="00EC379B" w:rsidRPr="009C1E9A" w:rsidRDefault="000D71D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20779</w:t>
          </w:r>
        </w:p>
      </w:tc>
      <w:tc>
        <w:tcPr>
          <w:tcW w:w="2453" w:type="pct"/>
        </w:tcPr>
        <w:p w14:paraId="25B0A23A" w14:textId="3E408A35" w:rsidR="00EC379B" w:rsidRDefault="000D71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0B71">
            <w:t>21.105.1057</w:t>
          </w:r>
          <w:r>
            <w:fldChar w:fldCharType="end"/>
          </w:r>
        </w:p>
      </w:tc>
    </w:tr>
    <w:tr w:rsidR="00CB3B2D" w14:paraId="27619D2A" w14:textId="77777777" w:rsidTr="009C1E9A">
      <w:trPr>
        <w:cantSplit/>
      </w:trPr>
      <w:tc>
        <w:tcPr>
          <w:tcW w:w="0" w:type="pct"/>
        </w:tcPr>
        <w:p w14:paraId="004F814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1E9D24" w14:textId="16ECC612" w:rsidR="00EC379B" w:rsidRPr="009C1E9A" w:rsidRDefault="000D71D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18592</w:t>
          </w:r>
        </w:p>
      </w:tc>
      <w:tc>
        <w:tcPr>
          <w:tcW w:w="2453" w:type="pct"/>
        </w:tcPr>
        <w:p w14:paraId="027F31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9E48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3B2D" w14:paraId="6F1095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D72CE5" w14:textId="2008A0AA" w:rsidR="00EC379B" w:rsidRDefault="000D71D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60B7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7E248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3AA6D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DDB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D551" w14:textId="77777777" w:rsidR="00000000" w:rsidRDefault="000D71D3">
      <w:r>
        <w:separator/>
      </w:r>
    </w:p>
  </w:footnote>
  <w:footnote w:type="continuationSeparator" w:id="0">
    <w:p w14:paraId="2D2DD83D" w14:textId="77777777" w:rsidR="00000000" w:rsidRDefault="000D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F8B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DB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CFA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54BA"/>
    <w:multiLevelType w:val="hybridMultilevel"/>
    <w:tmpl w:val="3B129B82"/>
    <w:lvl w:ilvl="0" w:tplc="9E20A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C0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28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8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04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A2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4C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A1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49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BBB"/>
    <w:multiLevelType w:val="hybridMultilevel"/>
    <w:tmpl w:val="4FC0D554"/>
    <w:lvl w:ilvl="0" w:tplc="1AE6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8E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61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88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3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07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A1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2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00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38E3"/>
    <w:multiLevelType w:val="hybridMultilevel"/>
    <w:tmpl w:val="3162EC62"/>
    <w:lvl w:ilvl="0" w:tplc="806EA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E9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89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1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A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C3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3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C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2526"/>
    <w:multiLevelType w:val="hybridMultilevel"/>
    <w:tmpl w:val="C9961B4E"/>
    <w:lvl w:ilvl="0" w:tplc="CD28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8E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EE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2B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2A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E1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63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3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C5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5BFB"/>
    <w:multiLevelType w:val="hybridMultilevel"/>
    <w:tmpl w:val="0DA4CA22"/>
    <w:lvl w:ilvl="0" w:tplc="E21A8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2A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E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ED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48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E5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A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46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DA"/>
    <w:rsid w:val="00000A70"/>
    <w:rsid w:val="00003068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E16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FB4"/>
    <w:rsid w:val="00043B84"/>
    <w:rsid w:val="0004512B"/>
    <w:rsid w:val="000463F0"/>
    <w:rsid w:val="00046BDA"/>
    <w:rsid w:val="0004762E"/>
    <w:rsid w:val="000529E6"/>
    <w:rsid w:val="000532BD"/>
    <w:rsid w:val="000532DA"/>
    <w:rsid w:val="00055C12"/>
    <w:rsid w:val="000608B0"/>
    <w:rsid w:val="0006104C"/>
    <w:rsid w:val="00064BF2"/>
    <w:rsid w:val="000667BA"/>
    <w:rsid w:val="000676A7"/>
    <w:rsid w:val="00071D7C"/>
    <w:rsid w:val="00073914"/>
    <w:rsid w:val="00074236"/>
    <w:rsid w:val="000746BD"/>
    <w:rsid w:val="00076D7D"/>
    <w:rsid w:val="00077764"/>
    <w:rsid w:val="00080D95"/>
    <w:rsid w:val="00086B2F"/>
    <w:rsid w:val="00090E6B"/>
    <w:rsid w:val="00091B2C"/>
    <w:rsid w:val="00092ABC"/>
    <w:rsid w:val="00095236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1D3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214"/>
    <w:rsid w:val="00106F3C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0DA"/>
    <w:rsid w:val="00147530"/>
    <w:rsid w:val="00150041"/>
    <w:rsid w:val="0015331F"/>
    <w:rsid w:val="001534A0"/>
    <w:rsid w:val="00156AB2"/>
    <w:rsid w:val="00160402"/>
    <w:rsid w:val="00160571"/>
    <w:rsid w:val="00161E93"/>
    <w:rsid w:val="00161EF8"/>
    <w:rsid w:val="00162C7A"/>
    <w:rsid w:val="00162DAE"/>
    <w:rsid w:val="001639C5"/>
    <w:rsid w:val="00163E45"/>
    <w:rsid w:val="001664C2"/>
    <w:rsid w:val="00166A1E"/>
    <w:rsid w:val="00171BF2"/>
    <w:rsid w:val="0017347B"/>
    <w:rsid w:val="0017615C"/>
    <w:rsid w:val="0017725B"/>
    <w:rsid w:val="0018050C"/>
    <w:rsid w:val="0018117F"/>
    <w:rsid w:val="001824ED"/>
    <w:rsid w:val="00183262"/>
    <w:rsid w:val="00183401"/>
    <w:rsid w:val="00184B03"/>
    <w:rsid w:val="00185C59"/>
    <w:rsid w:val="00187C1B"/>
    <w:rsid w:val="001908AC"/>
    <w:rsid w:val="0019099D"/>
    <w:rsid w:val="00190CFB"/>
    <w:rsid w:val="0019457A"/>
    <w:rsid w:val="00195257"/>
    <w:rsid w:val="00195388"/>
    <w:rsid w:val="0019539E"/>
    <w:rsid w:val="001968BC"/>
    <w:rsid w:val="001A0739"/>
    <w:rsid w:val="001A0F00"/>
    <w:rsid w:val="001A16F4"/>
    <w:rsid w:val="001A2BDD"/>
    <w:rsid w:val="001A3DDF"/>
    <w:rsid w:val="001A4310"/>
    <w:rsid w:val="001A7CBB"/>
    <w:rsid w:val="001B053A"/>
    <w:rsid w:val="001B1CAC"/>
    <w:rsid w:val="001B1E78"/>
    <w:rsid w:val="001B26D8"/>
    <w:rsid w:val="001B3BFA"/>
    <w:rsid w:val="001B75B8"/>
    <w:rsid w:val="001C0795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76E"/>
    <w:rsid w:val="001E7681"/>
    <w:rsid w:val="001F2A0D"/>
    <w:rsid w:val="001F34E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8A6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75EC"/>
    <w:rsid w:val="0024077A"/>
    <w:rsid w:val="00241EC1"/>
    <w:rsid w:val="002431DA"/>
    <w:rsid w:val="0024477C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A9E"/>
    <w:rsid w:val="00263EDB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CD0"/>
    <w:rsid w:val="00281343"/>
    <w:rsid w:val="00281883"/>
    <w:rsid w:val="0028231C"/>
    <w:rsid w:val="00282A43"/>
    <w:rsid w:val="002874E3"/>
    <w:rsid w:val="00287656"/>
    <w:rsid w:val="00291518"/>
    <w:rsid w:val="00292826"/>
    <w:rsid w:val="002934B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6C3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625"/>
    <w:rsid w:val="002F795D"/>
    <w:rsid w:val="00300823"/>
    <w:rsid w:val="00300D7F"/>
    <w:rsid w:val="00301638"/>
    <w:rsid w:val="00303B0C"/>
    <w:rsid w:val="0030459C"/>
    <w:rsid w:val="003049A0"/>
    <w:rsid w:val="00305DE8"/>
    <w:rsid w:val="00313DFE"/>
    <w:rsid w:val="003143B2"/>
    <w:rsid w:val="00314821"/>
    <w:rsid w:val="0031483F"/>
    <w:rsid w:val="0031741B"/>
    <w:rsid w:val="00320D1A"/>
    <w:rsid w:val="00321337"/>
    <w:rsid w:val="00321F2F"/>
    <w:rsid w:val="003237F6"/>
    <w:rsid w:val="00324077"/>
    <w:rsid w:val="0032453B"/>
    <w:rsid w:val="00324868"/>
    <w:rsid w:val="003305F5"/>
    <w:rsid w:val="00330DE3"/>
    <w:rsid w:val="00333930"/>
    <w:rsid w:val="0033436F"/>
    <w:rsid w:val="00336BA4"/>
    <w:rsid w:val="00336C7A"/>
    <w:rsid w:val="00337392"/>
    <w:rsid w:val="00337659"/>
    <w:rsid w:val="003427C9"/>
    <w:rsid w:val="00343A92"/>
    <w:rsid w:val="00343F37"/>
    <w:rsid w:val="00344530"/>
    <w:rsid w:val="003446DC"/>
    <w:rsid w:val="00346D2C"/>
    <w:rsid w:val="00347B4A"/>
    <w:rsid w:val="003500C3"/>
    <w:rsid w:val="003523BD"/>
    <w:rsid w:val="00352681"/>
    <w:rsid w:val="003536AA"/>
    <w:rsid w:val="003544CE"/>
    <w:rsid w:val="003546D2"/>
    <w:rsid w:val="00355A98"/>
    <w:rsid w:val="00355D7E"/>
    <w:rsid w:val="00357CA1"/>
    <w:rsid w:val="00360E45"/>
    <w:rsid w:val="00361D36"/>
    <w:rsid w:val="00361FE9"/>
    <w:rsid w:val="003624F2"/>
    <w:rsid w:val="00363854"/>
    <w:rsid w:val="00364315"/>
    <w:rsid w:val="003643E2"/>
    <w:rsid w:val="003678A4"/>
    <w:rsid w:val="00370155"/>
    <w:rsid w:val="003712D5"/>
    <w:rsid w:val="003747DF"/>
    <w:rsid w:val="00377E3D"/>
    <w:rsid w:val="003847E8"/>
    <w:rsid w:val="0038731D"/>
    <w:rsid w:val="00387B60"/>
    <w:rsid w:val="00390098"/>
    <w:rsid w:val="00391C2A"/>
    <w:rsid w:val="00392DA1"/>
    <w:rsid w:val="00393718"/>
    <w:rsid w:val="00394DF8"/>
    <w:rsid w:val="003A0296"/>
    <w:rsid w:val="003A10BC"/>
    <w:rsid w:val="003A52C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3F0"/>
    <w:rsid w:val="003B5BAD"/>
    <w:rsid w:val="003B66B6"/>
    <w:rsid w:val="003B7677"/>
    <w:rsid w:val="003B7984"/>
    <w:rsid w:val="003B7AF6"/>
    <w:rsid w:val="003C0411"/>
    <w:rsid w:val="003C1871"/>
    <w:rsid w:val="003C1C55"/>
    <w:rsid w:val="003C25EA"/>
    <w:rsid w:val="003C36FD"/>
    <w:rsid w:val="003C44DB"/>
    <w:rsid w:val="003C664C"/>
    <w:rsid w:val="003D68D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E99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AE9"/>
    <w:rsid w:val="004230FE"/>
    <w:rsid w:val="004241AA"/>
    <w:rsid w:val="0042422E"/>
    <w:rsid w:val="0043190E"/>
    <w:rsid w:val="00431EEC"/>
    <w:rsid w:val="004324E9"/>
    <w:rsid w:val="004350F3"/>
    <w:rsid w:val="00436980"/>
    <w:rsid w:val="00441016"/>
    <w:rsid w:val="00441F2F"/>
    <w:rsid w:val="0044228B"/>
    <w:rsid w:val="004435FA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672"/>
    <w:rsid w:val="00471BE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6DC6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639"/>
    <w:rsid w:val="004F32AD"/>
    <w:rsid w:val="004F57CB"/>
    <w:rsid w:val="004F64F6"/>
    <w:rsid w:val="004F69C0"/>
    <w:rsid w:val="00500121"/>
    <w:rsid w:val="005017AC"/>
    <w:rsid w:val="00501E8A"/>
    <w:rsid w:val="00503A24"/>
    <w:rsid w:val="00505121"/>
    <w:rsid w:val="00505C04"/>
    <w:rsid w:val="00505F1B"/>
    <w:rsid w:val="005073E8"/>
    <w:rsid w:val="005103D1"/>
    <w:rsid w:val="00510503"/>
    <w:rsid w:val="0051324D"/>
    <w:rsid w:val="00515466"/>
    <w:rsid w:val="005154F7"/>
    <w:rsid w:val="005159DE"/>
    <w:rsid w:val="00520E42"/>
    <w:rsid w:val="005269CE"/>
    <w:rsid w:val="005304B2"/>
    <w:rsid w:val="005336BD"/>
    <w:rsid w:val="00534A49"/>
    <w:rsid w:val="005363BB"/>
    <w:rsid w:val="00541B98"/>
    <w:rsid w:val="00543374"/>
    <w:rsid w:val="00543511"/>
    <w:rsid w:val="005445E7"/>
    <w:rsid w:val="00545548"/>
    <w:rsid w:val="00546923"/>
    <w:rsid w:val="00551CA6"/>
    <w:rsid w:val="00552484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4E96"/>
    <w:rsid w:val="00576714"/>
    <w:rsid w:val="0057685A"/>
    <w:rsid w:val="00580019"/>
    <w:rsid w:val="005847EF"/>
    <w:rsid w:val="005851E6"/>
    <w:rsid w:val="005878B7"/>
    <w:rsid w:val="00590963"/>
    <w:rsid w:val="00592C9A"/>
    <w:rsid w:val="00593DF8"/>
    <w:rsid w:val="00595745"/>
    <w:rsid w:val="00597252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BAE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754"/>
    <w:rsid w:val="005E788B"/>
    <w:rsid w:val="005F4862"/>
    <w:rsid w:val="005F5679"/>
    <w:rsid w:val="005F5FDF"/>
    <w:rsid w:val="005F6960"/>
    <w:rsid w:val="005F69E7"/>
    <w:rsid w:val="005F7000"/>
    <w:rsid w:val="005F7AAA"/>
    <w:rsid w:val="00600BAA"/>
    <w:rsid w:val="006012DA"/>
    <w:rsid w:val="00603AD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C4C"/>
    <w:rsid w:val="00636BEA"/>
    <w:rsid w:val="006378C3"/>
    <w:rsid w:val="006402E7"/>
    <w:rsid w:val="00640CB6"/>
    <w:rsid w:val="00641B42"/>
    <w:rsid w:val="00645750"/>
    <w:rsid w:val="0065039A"/>
    <w:rsid w:val="00650692"/>
    <w:rsid w:val="006508D3"/>
    <w:rsid w:val="00650AFA"/>
    <w:rsid w:val="00651DB4"/>
    <w:rsid w:val="00662B77"/>
    <w:rsid w:val="00662D0E"/>
    <w:rsid w:val="00663265"/>
    <w:rsid w:val="0066345F"/>
    <w:rsid w:val="0066485B"/>
    <w:rsid w:val="0067036E"/>
    <w:rsid w:val="00671693"/>
    <w:rsid w:val="006726B9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03"/>
    <w:rsid w:val="00695B9A"/>
    <w:rsid w:val="00696563"/>
    <w:rsid w:val="0069792A"/>
    <w:rsid w:val="00697970"/>
    <w:rsid w:val="006979F8"/>
    <w:rsid w:val="006A6068"/>
    <w:rsid w:val="006B0159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7A6"/>
    <w:rsid w:val="006D3005"/>
    <w:rsid w:val="006D504F"/>
    <w:rsid w:val="006E0CAC"/>
    <w:rsid w:val="006E1CFB"/>
    <w:rsid w:val="006E1F94"/>
    <w:rsid w:val="006E26C1"/>
    <w:rsid w:val="006E30A8"/>
    <w:rsid w:val="006E447D"/>
    <w:rsid w:val="006E45B0"/>
    <w:rsid w:val="006E5692"/>
    <w:rsid w:val="006F365D"/>
    <w:rsid w:val="006F4BB0"/>
    <w:rsid w:val="0070013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1FD1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E35"/>
    <w:rsid w:val="007445B7"/>
    <w:rsid w:val="00744920"/>
    <w:rsid w:val="00744A52"/>
    <w:rsid w:val="007509BE"/>
    <w:rsid w:val="0075287B"/>
    <w:rsid w:val="00755C7B"/>
    <w:rsid w:val="00756CF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BE5"/>
    <w:rsid w:val="0079487D"/>
    <w:rsid w:val="007960C8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E4A"/>
    <w:rsid w:val="007B4FCA"/>
    <w:rsid w:val="007B7B85"/>
    <w:rsid w:val="007C462E"/>
    <w:rsid w:val="007C496B"/>
    <w:rsid w:val="007C6803"/>
    <w:rsid w:val="007D2892"/>
    <w:rsid w:val="007D2DCC"/>
    <w:rsid w:val="007D47E1"/>
    <w:rsid w:val="007D73C3"/>
    <w:rsid w:val="007D7FCB"/>
    <w:rsid w:val="007E1307"/>
    <w:rsid w:val="007E306C"/>
    <w:rsid w:val="007E33B6"/>
    <w:rsid w:val="007E59E8"/>
    <w:rsid w:val="007E6704"/>
    <w:rsid w:val="007F1B43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0B0"/>
    <w:rsid w:val="00823E4C"/>
    <w:rsid w:val="00824061"/>
    <w:rsid w:val="00824E46"/>
    <w:rsid w:val="00827749"/>
    <w:rsid w:val="0082775A"/>
    <w:rsid w:val="00827B7E"/>
    <w:rsid w:val="00830EEB"/>
    <w:rsid w:val="008347A9"/>
    <w:rsid w:val="00835628"/>
    <w:rsid w:val="00835E90"/>
    <w:rsid w:val="0083728E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3CA"/>
    <w:rsid w:val="00864369"/>
    <w:rsid w:val="0086477C"/>
    <w:rsid w:val="00864BAD"/>
    <w:rsid w:val="00864C44"/>
    <w:rsid w:val="00866F9D"/>
    <w:rsid w:val="008673D9"/>
    <w:rsid w:val="00871775"/>
    <w:rsid w:val="00871AEF"/>
    <w:rsid w:val="008726E5"/>
    <w:rsid w:val="0087289E"/>
    <w:rsid w:val="00874C05"/>
    <w:rsid w:val="00874E60"/>
    <w:rsid w:val="00875F3E"/>
    <w:rsid w:val="0087680A"/>
    <w:rsid w:val="008806EB"/>
    <w:rsid w:val="00880F7C"/>
    <w:rsid w:val="008826F2"/>
    <w:rsid w:val="008845BA"/>
    <w:rsid w:val="00885203"/>
    <w:rsid w:val="008859CA"/>
    <w:rsid w:val="008861EE"/>
    <w:rsid w:val="00890B59"/>
    <w:rsid w:val="008930D7"/>
    <w:rsid w:val="008947A7"/>
    <w:rsid w:val="00897956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2ADE"/>
    <w:rsid w:val="008D309C"/>
    <w:rsid w:val="008D58F9"/>
    <w:rsid w:val="008D634D"/>
    <w:rsid w:val="008E3338"/>
    <w:rsid w:val="008E47BE"/>
    <w:rsid w:val="008F09DF"/>
    <w:rsid w:val="008F1E3C"/>
    <w:rsid w:val="008F3053"/>
    <w:rsid w:val="008F3136"/>
    <w:rsid w:val="008F40DF"/>
    <w:rsid w:val="008F4791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3A2F"/>
    <w:rsid w:val="0093417F"/>
    <w:rsid w:val="00934AC2"/>
    <w:rsid w:val="009375BB"/>
    <w:rsid w:val="009418E9"/>
    <w:rsid w:val="00946044"/>
    <w:rsid w:val="009465AB"/>
    <w:rsid w:val="00946DEE"/>
    <w:rsid w:val="0094768A"/>
    <w:rsid w:val="00953499"/>
    <w:rsid w:val="00954A16"/>
    <w:rsid w:val="00955AB2"/>
    <w:rsid w:val="0095696D"/>
    <w:rsid w:val="00956A4E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CBD"/>
    <w:rsid w:val="0098285C"/>
    <w:rsid w:val="00983B56"/>
    <w:rsid w:val="009847FD"/>
    <w:rsid w:val="009851B3"/>
    <w:rsid w:val="00985300"/>
    <w:rsid w:val="00986720"/>
    <w:rsid w:val="009868F3"/>
    <w:rsid w:val="00987F00"/>
    <w:rsid w:val="00990468"/>
    <w:rsid w:val="00990E1A"/>
    <w:rsid w:val="0099403D"/>
    <w:rsid w:val="00995B0B"/>
    <w:rsid w:val="00995DA0"/>
    <w:rsid w:val="009A0ED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4DF0"/>
    <w:rsid w:val="009D5A41"/>
    <w:rsid w:val="009E13BF"/>
    <w:rsid w:val="009E3631"/>
    <w:rsid w:val="009E3EB9"/>
    <w:rsid w:val="009E69C2"/>
    <w:rsid w:val="009E70AF"/>
    <w:rsid w:val="009E7AEB"/>
    <w:rsid w:val="009F0EE4"/>
    <w:rsid w:val="009F1B37"/>
    <w:rsid w:val="009F4EB0"/>
    <w:rsid w:val="009F4F2B"/>
    <w:rsid w:val="009F513E"/>
    <w:rsid w:val="009F5802"/>
    <w:rsid w:val="009F64AD"/>
    <w:rsid w:val="009F64AE"/>
    <w:rsid w:val="00A0042D"/>
    <w:rsid w:val="00A0053A"/>
    <w:rsid w:val="00A00C33"/>
    <w:rsid w:val="00A01103"/>
    <w:rsid w:val="00A012C0"/>
    <w:rsid w:val="00A014BB"/>
    <w:rsid w:val="00A01E10"/>
    <w:rsid w:val="00A028EC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48D"/>
    <w:rsid w:val="00A220FF"/>
    <w:rsid w:val="00A227E0"/>
    <w:rsid w:val="00A22FAC"/>
    <w:rsid w:val="00A232E4"/>
    <w:rsid w:val="00A24AAD"/>
    <w:rsid w:val="00A26A8A"/>
    <w:rsid w:val="00A27255"/>
    <w:rsid w:val="00A32304"/>
    <w:rsid w:val="00A3420E"/>
    <w:rsid w:val="00A35D66"/>
    <w:rsid w:val="00A37FB3"/>
    <w:rsid w:val="00A41085"/>
    <w:rsid w:val="00A425FA"/>
    <w:rsid w:val="00A43960"/>
    <w:rsid w:val="00A46902"/>
    <w:rsid w:val="00A47C07"/>
    <w:rsid w:val="00A50CDB"/>
    <w:rsid w:val="00A51F3E"/>
    <w:rsid w:val="00A5364B"/>
    <w:rsid w:val="00A54142"/>
    <w:rsid w:val="00A54C42"/>
    <w:rsid w:val="00A5605E"/>
    <w:rsid w:val="00A572B1"/>
    <w:rsid w:val="00A577AF"/>
    <w:rsid w:val="00A60177"/>
    <w:rsid w:val="00A61C27"/>
    <w:rsid w:val="00A6344D"/>
    <w:rsid w:val="00A644B8"/>
    <w:rsid w:val="00A70E35"/>
    <w:rsid w:val="00A720DC"/>
    <w:rsid w:val="00A7269D"/>
    <w:rsid w:val="00A803CF"/>
    <w:rsid w:val="00A80676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ACB"/>
    <w:rsid w:val="00AA597A"/>
    <w:rsid w:val="00AA7E52"/>
    <w:rsid w:val="00AB1655"/>
    <w:rsid w:val="00AB1873"/>
    <w:rsid w:val="00AB24AF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772"/>
    <w:rsid w:val="00AD304B"/>
    <w:rsid w:val="00AD3EED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FB7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277"/>
    <w:rsid w:val="00B233BB"/>
    <w:rsid w:val="00B25612"/>
    <w:rsid w:val="00B26437"/>
    <w:rsid w:val="00B2678E"/>
    <w:rsid w:val="00B30647"/>
    <w:rsid w:val="00B31F0E"/>
    <w:rsid w:val="00B34F25"/>
    <w:rsid w:val="00B43672"/>
    <w:rsid w:val="00B4477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98D"/>
    <w:rsid w:val="00B82039"/>
    <w:rsid w:val="00B82454"/>
    <w:rsid w:val="00B90097"/>
    <w:rsid w:val="00B90999"/>
    <w:rsid w:val="00B91AD7"/>
    <w:rsid w:val="00B91B01"/>
    <w:rsid w:val="00B92D23"/>
    <w:rsid w:val="00B94E88"/>
    <w:rsid w:val="00B95BC8"/>
    <w:rsid w:val="00B96E87"/>
    <w:rsid w:val="00BA146A"/>
    <w:rsid w:val="00BA2E34"/>
    <w:rsid w:val="00BA32EE"/>
    <w:rsid w:val="00BB5B36"/>
    <w:rsid w:val="00BC027B"/>
    <w:rsid w:val="00BC1861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0F9C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233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4DA"/>
    <w:rsid w:val="00C35CC5"/>
    <w:rsid w:val="00C361C5"/>
    <w:rsid w:val="00C377D1"/>
    <w:rsid w:val="00C37BDA"/>
    <w:rsid w:val="00C37C84"/>
    <w:rsid w:val="00C37F90"/>
    <w:rsid w:val="00C42B41"/>
    <w:rsid w:val="00C46166"/>
    <w:rsid w:val="00C4710D"/>
    <w:rsid w:val="00C50CAD"/>
    <w:rsid w:val="00C57933"/>
    <w:rsid w:val="00C60206"/>
    <w:rsid w:val="00C60B71"/>
    <w:rsid w:val="00C615D4"/>
    <w:rsid w:val="00C61B5D"/>
    <w:rsid w:val="00C61C0E"/>
    <w:rsid w:val="00C61C64"/>
    <w:rsid w:val="00C61CDA"/>
    <w:rsid w:val="00C6277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0F4"/>
    <w:rsid w:val="00C9047F"/>
    <w:rsid w:val="00C91F65"/>
    <w:rsid w:val="00C92310"/>
    <w:rsid w:val="00C95150"/>
    <w:rsid w:val="00C9554F"/>
    <w:rsid w:val="00C95A73"/>
    <w:rsid w:val="00CA02B0"/>
    <w:rsid w:val="00CA032E"/>
    <w:rsid w:val="00CA2182"/>
    <w:rsid w:val="00CA2186"/>
    <w:rsid w:val="00CA26EF"/>
    <w:rsid w:val="00CA3608"/>
    <w:rsid w:val="00CA3E64"/>
    <w:rsid w:val="00CA401B"/>
    <w:rsid w:val="00CA4CA0"/>
    <w:rsid w:val="00CA5E5E"/>
    <w:rsid w:val="00CA7D7B"/>
    <w:rsid w:val="00CB0131"/>
    <w:rsid w:val="00CB0AE4"/>
    <w:rsid w:val="00CB0C21"/>
    <w:rsid w:val="00CB0D1A"/>
    <w:rsid w:val="00CB3627"/>
    <w:rsid w:val="00CB3B2D"/>
    <w:rsid w:val="00CB4B4B"/>
    <w:rsid w:val="00CB4B73"/>
    <w:rsid w:val="00CB74CB"/>
    <w:rsid w:val="00CB7E04"/>
    <w:rsid w:val="00CC24B7"/>
    <w:rsid w:val="00CC3C50"/>
    <w:rsid w:val="00CC7131"/>
    <w:rsid w:val="00CC7B9E"/>
    <w:rsid w:val="00CD06CA"/>
    <w:rsid w:val="00CD076A"/>
    <w:rsid w:val="00CD180C"/>
    <w:rsid w:val="00CD37DA"/>
    <w:rsid w:val="00CD4F2C"/>
    <w:rsid w:val="00CD72A4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3DE6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96E"/>
    <w:rsid w:val="00D62CF8"/>
    <w:rsid w:val="00D6365D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DB0"/>
    <w:rsid w:val="00D83072"/>
    <w:rsid w:val="00D83ABC"/>
    <w:rsid w:val="00D84870"/>
    <w:rsid w:val="00D91B92"/>
    <w:rsid w:val="00D926B3"/>
    <w:rsid w:val="00D92F63"/>
    <w:rsid w:val="00D947B6"/>
    <w:rsid w:val="00D97CF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3BE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42F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E0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9E9"/>
    <w:rsid w:val="00E57E70"/>
    <w:rsid w:val="00E6005C"/>
    <w:rsid w:val="00E60DF7"/>
    <w:rsid w:val="00E61159"/>
    <w:rsid w:val="00E625DA"/>
    <w:rsid w:val="00E634DC"/>
    <w:rsid w:val="00E667F3"/>
    <w:rsid w:val="00E67794"/>
    <w:rsid w:val="00E70CC6"/>
    <w:rsid w:val="00E71254"/>
    <w:rsid w:val="00E73CCD"/>
    <w:rsid w:val="00E748DF"/>
    <w:rsid w:val="00E74DAA"/>
    <w:rsid w:val="00E76453"/>
    <w:rsid w:val="00E77353"/>
    <w:rsid w:val="00E775AE"/>
    <w:rsid w:val="00E80609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450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E3B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5DE"/>
    <w:rsid w:val="00ED783A"/>
    <w:rsid w:val="00EE2E34"/>
    <w:rsid w:val="00EE2E91"/>
    <w:rsid w:val="00EE43A2"/>
    <w:rsid w:val="00EE451B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4AF"/>
    <w:rsid w:val="00F12B24"/>
    <w:rsid w:val="00F12BC7"/>
    <w:rsid w:val="00F15223"/>
    <w:rsid w:val="00F164B4"/>
    <w:rsid w:val="00F176E4"/>
    <w:rsid w:val="00F20E5F"/>
    <w:rsid w:val="00F21BCC"/>
    <w:rsid w:val="00F25CC2"/>
    <w:rsid w:val="00F26823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3865"/>
    <w:rsid w:val="00F7758F"/>
    <w:rsid w:val="00F81F8C"/>
    <w:rsid w:val="00F82811"/>
    <w:rsid w:val="00F84153"/>
    <w:rsid w:val="00F85661"/>
    <w:rsid w:val="00F9416F"/>
    <w:rsid w:val="00F96602"/>
    <w:rsid w:val="00F9735A"/>
    <w:rsid w:val="00FA20D7"/>
    <w:rsid w:val="00FA32FC"/>
    <w:rsid w:val="00FA59FD"/>
    <w:rsid w:val="00FA5D8C"/>
    <w:rsid w:val="00FA6403"/>
    <w:rsid w:val="00FA641E"/>
    <w:rsid w:val="00FB16CD"/>
    <w:rsid w:val="00FB73AE"/>
    <w:rsid w:val="00FC5388"/>
    <w:rsid w:val="00FC56E2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F532BB-D0FB-4E74-9152-3F8BB86E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3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3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30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3068"/>
    <w:rPr>
      <w:b/>
      <w:bCs/>
    </w:rPr>
  </w:style>
  <w:style w:type="character" w:styleId="Hyperlink">
    <w:name w:val="Hyperlink"/>
    <w:basedOn w:val="DefaultParagraphFont"/>
    <w:unhideWhenUsed/>
    <w:rsid w:val="001909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45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6293</Characters>
  <Application>Microsoft Office Word</Application>
  <DocSecurity>4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HB03820 (Committee Report (Substituted))</vt:lpstr>
    </vt:vector>
  </TitlesOfParts>
  <Company>State of Texas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20779</dc:subject>
  <dc:creator>State of Texas</dc:creator>
  <dc:description>HB 3820 by Klick-(H)Human Services (Substitute Document Number: 87R 18592)</dc:description>
  <cp:lastModifiedBy>Lauren Bustamente</cp:lastModifiedBy>
  <cp:revision>2</cp:revision>
  <cp:lastPrinted>2019-04-17T17:36:00Z</cp:lastPrinted>
  <dcterms:created xsi:type="dcterms:W3CDTF">2021-04-15T23:20:00Z</dcterms:created>
  <dcterms:modified xsi:type="dcterms:W3CDTF">2021-04-15T23:20:00Z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21.105.1057</vt:lpwstr>
  </property>
</Properties>
</file>