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C6C3A" w14:paraId="28368E37" w14:textId="77777777" w:rsidTr="0073632E">
        <w:tc>
          <w:tcPr>
            <w:tcW w:w="9576" w:type="dxa"/>
            <w:noWrap/>
          </w:tcPr>
          <w:p w14:paraId="5D087327" w14:textId="77777777" w:rsidR="008423E4" w:rsidRPr="0022177D" w:rsidRDefault="005E0A77" w:rsidP="00D75982">
            <w:pPr>
              <w:pStyle w:val="Heading1"/>
              <w:contextualSpacing/>
            </w:pPr>
            <w:bookmarkStart w:id="0" w:name="_GoBack"/>
            <w:bookmarkEnd w:id="0"/>
            <w:r w:rsidRPr="00631897">
              <w:t>BILL ANALYSIS</w:t>
            </w:r>
          </w:p>
        </w:tc>
      </w:tr>
    </w:tbl>
    <w:p w14:paraId="4FFA8ECC" w14:textId="77777777" w:rsidR="008423E4" w:rsidRPr="0022177D" w:rsidRDefault="008423E4" w:rsidP="00D75982">
      <w:pPr>
        <w:contextualSpacing/>
        <w:jc w:val="center"/>
      </w:pPr>
    </w:p>
    <w:p w14:paraId="5A451880" w14:textId="77777777" w:rsidR="008423E4" w:rsidRPr="00B31F0E" w:rsidRDefault="008423E4" w:rsidP="00D75982">
      <w:pPr>
        <w:contextualSpacing/>
      </w:pPr>
    </w:p>
    <w:p w14:paraId="27C9D206" w14:textId="77777777" w:rsidR="008423E4" w:rsidRPr="00742794" w:rsidRDefault="008423E4" w:rsidP="00D75982">
      <w:pPr>
        <w:tabs>
          <w:tab w:val="right" w:pos="9360"/>
        </w:tabs>
        <w:contextualSpacing/>
      </w:pPr>
    </w:p>
    <w:tbl>
      <w:tblPr>
        <w:tblW w:w="0" w:type="auto"/>
        <w:tblLayout w:type="fixed"/>
        <w:tblLook w:val="01E0" w:firstRow="1" w:lastRow="1" w:firstColumn="1" w:lastColumn="1" w:noHBand="0" w:noVBand="0"/>
      </w:tblPr>
      <w:tblGrid>
        <w:gridCol w:w="9576"/>
      </w:tblGrid>
      <w:tr w:rsidR="00BC6C3A" w14:paraId="630F6A61" w14:textId="77777777" w:rsidTr="0073632E">
        <w:tc>
          <w:tcPr>
            <w:tcW w:w="9576" w:type="dxa"/>
          </w:tcPr>
          <w:p w14:paraId="048AFCC3" w14:textId="126BB8D3" w:rsidR="008423E4" w:rsidRPr="00861995" w:rsidRDefault="005E0A77" w:rsidP="00D75982">
            <w:pPr>
              <w:contextualSpacing/>
              <w:jc w:val="right"/>
            </w:pPr>
            <w:r>
              <w:t>C.S.H.B. 3898</w:t>
            </w:r>
          </w:p>
        </w:tc>
      </w:tr>
      <w:tr w:rsidR="00BC6C3A" w14:paraId="4313E1CF" w14:textId="77777777" w:rsidTr="0073632E">
        <w:tc>
          <w:tcPr>
            <w:tcW w:w="9576" w:type="dxa"/>
          </w:tcPr>
          <w:p w14:paraId="6170E527" w14:textId="6844C697" w:rsidR="008423E4" w:rsidRPr="00861995" w:rsidRDefault="005E0A77" w:rsidP="00D75982">
            <w:pPr>
              <w:contextualSpacing/>
              <w:jc w:val="right"/>
            </w:pPr>
            <w:r>
              <w:t xml:space="preserve">By: </w:t>
            </w:r>
            <w:r w:rsidR="001734F0">
              <w:t>Anchia</w:t>
            </w:r>
          </w:p>
        </w:tc>
      </w:tr>
      <w:tr w:rsidR="00BC6C3A" w14:paraId="3321A532" w14:textId="77777777" w:rsidTr="0073632E">
        <w:tc>
          <w:tcPr>
            <w:tcW w:w="9576" w:type="dxa"/>
          </w:tcPr>
          <w:p w14:paraId="6CCA9777" w14:textId="3C757416" w:rsidR="008423E4" w:rsidRPr="00861995" w:rsidRDefault="005E0A77" w:rsidP="00D75982">
            <w:pPr>
              <w:contextualSpacing/>
              <w:jc w:val="right"/>
            </w:pPr>
            <w:r>
              <w:t>Pensions, Investments &amp; Financial Services</w:t>
            </w:r>
          </w:p>
        </w:tc>
      </w:tr>
      <w:tr w:rsidR="00BC6C3A" w14:paraId="0B1BDB4D" w14:textId="77777777" w:rsidTr="0073632E">
        <w:tc>
          <w:tcPr>
            <w:tcW w:w="9576" w:type="dxa"/>
          </w:tcPr>
          <w:p w14:paraId="2CCB3779" w14:textId="0CADA922" w:rsidR="008423E4" w:rsidRDefault="005E0A77" w:rsidP="00D75982">
            <w:pPr>
              <w:contextualSpacing/>
              <w:jc w:val="right"/>
            </w:pPr>
            <w:r>
              <w:t>Committee Report (Substituted)</w:t>
            </w:r>
          </w:p>
        </w:tc>
      </w:tr>
    </w:tbl>
    <w:p w14:paraId="46B8D13E" w14:textId="77777777" w:rsidR="008423E4" w:rsidRDefault="008423E4" w:rsidP="00D75982">
      <w:pPr>
        <w:tabs>
          <w:tab w:val="right" w:pos="9360"/>
        </w:tabs>
        <w:contextualSpacing/>
      </w:pPr>
    </w:p>
    <w:p w14:paraId="3B40212C" w14:textId="77777777" w:rsidR="008423E4" w:rsidRDefault="008423E4" w:rsidP="00D75982">
      <w:pPr>
        <w:contextualSpacing/>
      </w:pPr>
    </w:p>
    <w:p w14:paraId="2645732C" w14:textId="77777777" w:rsidR="008423E4" w:rsidRDefault="008423E4" w:rsidP="00D75982">
      <w:pPr>
        <w:contextualSpacing/>
      </w:pPr>
    </w:p>
    <w:tbl>
      <w:tblPr>
        <w:tblW w:w="0" w:type="auto"/>
        <w:tblCellMar>
          <w:left w:w="115" w:type="dxa"/>
          <w:right w:w="115" w:type="dxa"/>
        </w:tblCellMar>
        <w:tblLook w:val="01E0" w:firstRow="1" w:lastRow="1" w:firstColumn="1" w:lastColumn="1" w:noHBand="0" w:noVBand="0"/>
      </w:tblPr>
      <w:tblGrid>
        <w:gridCol w:w="9360"/>
      </w:tblGrid>
      <w:tr w:rsidR="00BC6C3A" w14:paraId="16A16AAA" w14:textId="77777777" w:rsidTr="00705973">
        <w:tc>
          <w:tcPr>
            <w:tcW w:w="9360" w:type="dxa"/>
          </w:tcPr>
          <w:p w14:paraId="51601ED3" w14:textId="77777777" w:rsidR="008423E4" w:rsidRPr="00A8133F" w:rsidRDefault="005E0A77" w:rsidP="00D75982">
            <w:pPr>
              <w:contextualSpacing/>
              <w:rPr>
                <w:b/>
              </w:rPr>
            </w:pPr>
            <w:r w:rsidRPr="009C1E9A">
              <w:rPr>
                <w:b/>
                <w:u w:val="single"/>
              </w:rPr>
              <w:t>BACKGROUND AND PURPOSE</w:t>
            </w:r>
            <w:r>
              <w:rPr>
                <w:b/>
              </w:rPr>
              <w:t xml:space="preserve"> </w:t>
            </w:r>
          </w:p>
          <w:p w14:paraId="6F8B5533" w14:textId="77777777" w:rsidR="008423E4" w:rsidRDefault="008423E4" w:rsidP="00D75982">
            <w:pPr>
              <w:contextualSpacing/>
            </w:pPr>
          </w:p>
          <w:p w14:paraId="4F50697B" w14:textId="5C498EAE" w:rsidR="008423E4" w:rsidRDefault="005E0A77" w:rsidP="00D75982">
            <w:pPr>
              <w:pStyle w:val="Header"/>
              <w:tabs>
                <w:tab w:val="clear" w:pos="4320"/>
                <w:tab w:val="clear" w:pos="8640"/>
              </w:tabs>
              <w:contextualSpacing/>
              <w:jc w:val="both"/>
            </w:pPr>
            <w:r>
              <w:t>C</w:t>
            </w:r>
            <w:r w:rsidR="00093B5C" w:rsidRPr="00093B5C">
              <w:t>oncerns</w:t>
            </w:r>
            <w:r>
              <w:t xml:space="preserve"> have been raised</w:t>
            </w:r>
            <w:r w:rsidR="00093B5C" w:rsidRPr="00093B5C">
              <w:t xml:space="preserve"> in recent years regarding the ability of public retirement systems to pay </w:t>
            </w:r>
            <w:r>
              <w:t>their</w:t>
            </w:r>
            <w:r w:rsidRPr="00093B5C">
              <w:t xml:space="preserve"> </w:t>
            </w:r>
            <w:r w:rsidR="00093B5C" w:rsidRPr="00093B5C">
              <w:t>long-term obligations.</w:t>
            </w:r>
            <w:r w:rsidR="00093B5C">
              <w:t xml:space="preserve"> </w:t>
            </w:r>
            <w:r w:rsidR="00222711">
              <w:t>State law governing</w:t>
            </w:r>
            <w:r w:rsidR="00093B5C" w:rsidRPr="00093B5C">
              <w:t xml:space="preserve"> </w:t>
            </w:r>
            <w:r w:rsidR="00222711">
              <w:t>f</w:t>
            </w:r>
            <w:r w:rsidR="00222711" w:rsidRPr="00093B5C">
              <w:t xml:space="preserve">unding </w:t>
            </w:r>
            <w:r w:rsidR="00222711">
              <w:t>s</w:t>
            </w:r>
            <w:r w:rsidR="00222711" w:rsidRPr="00093B5C">
              <w:t xml:space="preserve">oundness </w:t>
            </w:r>
            <w:r w:rsidR="00222711">
              <w:t>r</w:t>
            </w:r>
            <w:r w:rsidR="00222711" w:rsidRPr="00093B5C">
              <w:t xml:space="preserve">estoration </w:t>
            </w:r>
            <w:r w:rsidR="00222711">
              <w:t>p</w:t>
            </w:r>
            <w:r w:rsidR="00222711" w:rsidRPr="00093B5C">
              <w:t>lan</w:t>
            </w:r>
            <w:r w:rsidR="00222711">
              <w:t>s</w:t>
            </w:r>
            <w:r w:rsidR="00222711" w:rsidRPr="00093B5C">
              <w:t xml:space="preserve"> </w:t>
            </w:r>
            <w:r w:rsidR="00093B5C" w:rsidRPr="00093B5C">
              <w:t xml:space="preserve">requires </w:t>
            </w:r>
            <w:r w:rsidR="00222711">
              <w:t xml:space="preserve">public retirement </w:t>
            </w:r>
            <w:r w:rsidR="00093B5C" w:rsidRPr="00093B5C">
              <w:t xml:space="preserve">systems and their </w:t>
            </w:r>
            <w:r w:rsidR="00222711">
              <w:t>associated governmental entities</w:t>
            </w:r>
            <w:r w:rsidR="00222711" w:rsidRPr="00093B5C">
              <w:t xml:space="preserve"> </w:t>
            </w:r>
            <w:r w:rsidR="00093B5C" w:rsidRPr="00093B5C">
              <w:t xml:space="preserve">to adopt a remediation plan if existing liabilities cannot be paid off within 40 years. However, </w:t>
            </w:r>
            <w:r w:rsidR="00222711">
              <w:t xml:space="preserve">it has been suggested that </w:t>
            </w:r>
            <w:r w:rsidR="00093B5C" w:rsidRPr="00093B5C">
              <w:t xml:space="preserve">the remediation requirements for plans facing serious funding shortfalls operate independently from </w:t>
            </w:r>
            <w:r w:rsidR="00AE0552">
              <w:t xml:space="preserve">more recent </w:t>
            </w:r>
            <w:r w:rsidR="00093B5C" w:rsidRPr="00093B5C">
              <w:t>funding policy mandate</w:t>
            </w:r>
            <w:r w:rsidR="00AE0552">
              <w:t>s</w:t>
            </w:r>
            <w:r w:rsidR="00093B5C" w:rsidRPr="00093B5C">
              <w:t xml:space="preserve"> and do not align with</w:t>
            </w:r>
            <w:r w:rsidR="00AE0552">
              <w:t xml:space="preserve"> pension</w:t>
            </w:r>
            <w:r w:rsidR="00093B5C" w:rsidRPr="00093B5C">
              <w:t xml:space="preserve"> </w:t>
            </w:r>
            <w:r w:rsidR="00AE0552">
              <w:t xml:space="preserve">funding guidelines of the </w:t>
            </w:r>
            <w:r w:rsidR="003E630F">
              <w:t xml:space="preserve">State </w:t>
            </w:r>
            <w:r w:rsidR="00093B5C" w:rsidRPr="00093B5C">
              <w:t xml:space="preserve">Pension Review Board. </w:t>
            </w:r>
            <w:r w:rsidR="00AE0552">
              <w:t xml:space="preserve">C.S.H.B. 3898 seeks to remedy this situation by more closely </w:t>
            </w:r>
            <w:r w:rsidR="00093B5C" w:rsidRPr="00093B5C">
              <w:t>align</w:t>
            </w:r>
            <w:r w:rsidR="00AE0552">
              <w:t>ing</w:t>
            </w:r>
            <w:r w:rsidR="00093B5C" w:rsidRPr="00093B5C">
              <w:t xml:space="preserve"> existing mandates and reporting requirements </w:t>
            </w:r>
            <w:r w:rsidR="00AE0552">
              <w:t xml:space="preserve">for these systems </w:t>
            </w:r>
            <w:r w:rsidR="00093B5C" w:rsidRPr="00093B5C">
              <w:t>with current industry practice</w:t>
            </w:r>
            <w:r w:rsidR="00AE0552">
              <w:t>s</w:t>
            </w:r>
            <w:r w:rsidR="00093B5C" w:rsidRPr="00093B5C">
              <w:t xml:space="preserve"> to ensure the long-term financial health of Texas</w:t>
            </w:r>
            <w:r w:rsidR="00420F63">
              <w:t>'</w:t>
            </w:r>
            <w:r w:rsidR="00093B5C" w:rsidRPr="00093B5C">
              <w:t xml:space="preserve"> public retirement systems.</w:t>
            </w:r>
          </w:p>
          <w:p w14:paraId="5AEB7983" w14:textId="77777777" w:rsidR="008423E4" w:rsidRPr="00E26B13" w:rsidRDefault="008423E4" w:rsidP="00D75982">
            <w:pPr>
              <w:contextualSpacing/>
              <w:rPr>
                <w:b/>
              </w:rPr>
            </w:pPr>
          </w:p>
        </w:tc>
      </w:tr>
      <w:tr w:rsidR="00BC6C3A" w14:paraId="7163B30B" w14:textId="77777777" w:rsidTr="00705973">
        <w:tc>
          <w:tcPr>
            <w:tcW w:w="9360" w:type="dxa"/>
          </w:tcPr>
          <w:p w14:paraId="4985A797" w14:textId="77777777" w:rsidR="0017725B" w:rsidRDefault="005E0A77" w:rsidP="00D75982">
            <w:pPr>
              <w:contextualSpacing/>
              <w:rPr>
                <w:b/>
                <w:u w:val="single"/>
              </w:rPr>
            </w:pPr>
            <w:r>
              <w:rPr>
                <w:b/>
                <w:u w:val="single"/>
              </w:rPr>
              <w:t xml:space="preserve">CRIMINAL JUSTICE </w:t>
            </w:r>
            <w:r>
              <w:rPr>
                <w:b/>
                <w:u w:val="single"/>
              </w:rPr>
              <w:t>IMPACT</w:t>
            </w:r>
          </w:p>
          <w:p w14:paraId="277B2FA9" w14:textId="77777777" w:rsidR="0017725B" w:rsidRDefault="0017725B" w:rsidP="00D75982">
            <w:pPr>
              <w:contextualSpacing/>
              <w:rPr>
                <w:b/>
                <w:u w:val="single"/>
              </w:rPr>
            </w:pPr>
          </w:p>
          <w:p w14:paraId="3BE03E23" w14:textId="77777777" w:rsidR="00093B5C" w:rsidRPr="00093B5C" w:rsidRDefault="005E0A77" w:rsidP="00D75982">
            <w:pPr>
              <w:contextualSpacing/>
              <w:jc w:val="both"/>
            </w:pPr>
            <w:r>
              <w:t>It is the committee's opinion that this bill does not expressly create a criminal offense, increase the punishment for an existing criminal offense or category of offenses, or change the eligibility of a person for community supervision, parole, or</w:t>
            </w:r>
            <w:r>
              <w:t xml:space="preserve"> mandatory supervision.</w:t>
            </w:r>
          </w:p>
          <w:p w14:paraId="24BC9318" w14:textId="77777777" w:rsidR="0017725B" w:rsidRPr="0017725B" w:rsidRDefault="0017725B" w:rsidP="00D75982">
            <w:pPr>
              <w:contextualSpacing/>
              <w:rPr>
                <w:b/>
                <w:u w:val="single"/>
              </w:rPr>
            </w:pPr>
          </w:p>
        </w:tc>
      </w:tr>
      <w:tr w:rsidR="00BC6C3A" w14:paraId="7B710C8D" w14:textId="77777777" w:rsidTr="00705973">
        <w:tc>
          <w:tcPr>
            <w:tcW w:w="9360" w:type="dxa"/>
          </w:tcPr>
          <w:p w14:paraId="18D89719" w14:textId="77777777" w:rsidR="008423E4" w:rsidRPr="00A8133F" w:rsidRDefault="005E0A77" w:rsidP="00D75982">
            <w:pPr>
              <w:contextualSpacing/>
              <w:rPr>
                <w:b/>
              </w:rPr>
            </w:pPr>
            <w:r w:rsidRPr="009C1E9A">
              <w:rPr>
                <w:b/>
                <w:u w:val="single"/>
              </w:rPr>
              <w:t>RULEMAKING AUTHORITY</w:t>
            </w:r>
            <w:r>
              <w:rPr>
                <w:b/>
              </w:rPr>
              <w:t xml:space="preserve"> </w:t>
            </w:r>
          </w:p>
          <w:p w14:paraId="4829555A" w14:textId="77777777" w:rsidR="008423E4" w:rsidRDefault="008423E4" w:rsidP="00D75982">
            <w:pPr>
              <w:contextualSpacing/>
            </w:pPr>
          </w:p>
          <w:p w14:paraId="74BC2B2B" w14:textId="77777777" w:rsidR="00093B5C" w:rsidRDefault="005E0A77" w:rsidP="00D75982">
            <w:pPr>
              <w:pStyle w:val="Header"/>
              <w:tabs>
                <w:tab w:val="clear" w:pos="4320"/>
                <w:tab w:val="clear" w:pos="8640"/>
              </w:tabs>
              <w:contextualSpacing/>
              <w:jc w:val="both"/>
            </w:pPr>
            <w:r>
              <w:t>It is the committee's opinion that rulemaking authority is expressly granted to the State Pension Review Board in SECTIONS 2, 3, and 4 of this bill.</w:t>
            </w:r>
          </w:p>
          <w:p w14:paraId="71D109C7" w14:textId="77777777" w:rsidR="008423E4" w:rsidRPr="00E21FDC" w:rsidRDefault="008423E4" w:rsidP="00D75982">
            <w:pPr>
              <w:contextualSpacing/>
              <w:rPr>
                <w:b/>
              </w:rPr>
            </w:pPr>
          </w:p>
        </w:tc>
      </w:tr>
      <w:tr w:rsidR="00BC6C3A" w14:paraId="4B217F1A" w14:textId="77777777" w:rsidTr="00705973">
        <w:tc>
          <w:tcPr>
            <w:tcW w:w="9360" w:type="dxa"/>
          </w:tcPr>
          <w:p w14:paraId="3AFB87C4" w14:textId="77777777" w:rsidR="008423E4" w:rsidRPr="00A8133F" w:rsidRDefault="005E0A77" w:rsidP="00D75982">
            <w:pPr>
              <w:contextualSpacing/>
              <w:rPr>
                <w:b/>
              </w:rPr>
            </w:pPr>
            <w:r w:rsidRPr="009C1E9A">
              <w:rPr>
                <w:b/>
                <w:u w:val="single"/>
              </w:rPr>
              <w:t>ANALYSIS</w:t>
            </w:r>
            <w:r>
              <w:rPr>
                <w:b/>
              </w:rPr>
              <w:t xml:space="preserve"> </w:t>
            </w:r>
          </w:p>
          <w:p w14:paraId="5E943E7F" w14:textId="77777777" w:rsidR="008423E4" w:rsidRDefault="008423E4" w:rsidP="00D75982">
            <w:pPr>
              <w:contextualSpacing/>
            </w:pPr>
          </w:p>
          <w:p w14:paraId="782E753C" w14:textId="0CF38527" w:rsidR="00093B5C" w:rsidRDefault="005E0A77" w:rsidP="00D75982">
            <w:pPr>
              <w:pStyle w:val="Header"/>
              <w:tabs>
                <w:tab w:val="clear" w:pos="4320"/>
                <w:tab w:val="clear" w:pos="8640"/>
              </w:tabs>
              <w:contextualSpacing/>
              <w:jc w:val="both"/>
            </w:pPr>
            <w:r>
              <w:t xml:space="preserve">C.S.H.B. 3898 amends the Government Code to </w:t>
            </w:r>
            <w:r>
              <w:t>revise provisions providing for the development of a funding policy for a public retirement system</w:t>
            </w:r>
            <w:r w:rsidR="00817DA0">
              <w:t>. The bill does the following</w:t>
            </w:r>
            <w:r>
              <w:t>:</w:t>
            </w:r>
          </w:p>
          <w:p w14:paraId="29547C9A" w14:textId="77777777" w:rsidR="00093B5C" w:rsidRDefault="005E0A77" w:rsidP="00D75982">
            <w:pPr>
              <w:pStyle w:val="Header"/>
              <w:numPr>
                <w:ilvl w:val="0"/>
                <w:numId w:val="4"/>
              </w:numPr>
              <w:tabs>
                <w:tab w:val="clear" w:pos="4320"/>
                <w:tab w:val="clear" w:pos="8640"/>
              </w:tabs>
              <w:contextualSpacing/>
              <w:jc w:val="both"/>
            </w:pPr>
            <w:r>
              <w:t xml:space="preserve">requires the governing body of a system to timely revise the system's policy to reflect any significant changes to the policy, </w:t>
            </w:r>
            <w:r>
              <w:t>including changes required as a result of formulating and implementing a funding soundness restoration plan;</w:t>
            </w:r>
          </w:p>
          <w:p w14:paraId="293CF8E3" w14:textId="77777777" w:rsidR="00093B5C" w:rsidRDefault="005E0A77" w:rsidP="00D75982">
            <w:pPr>
              <w:pStyle w:val="Header"/>
              <w:numPr>
                <w:ilvl w:val="0"/>
                <w:numId w:val="4"/>
              </w:numPr>
              <w:tabs>
                <w:tab w:val="clear" w:pos="4320"/>
                <w:tab w:val="clear" w:pos="8640"/>
              </w:tabs>
              <w:contextualSpacing/>
              <w:jc w:val="both"/>
            </w:pPr>
            <w:r>
              <w:t xml:space="preserve">requires the governing body of a system that is not a statewide retirement system to </w:t>
            </w:r>
            <w:r w:rsidRPr="00A11A05">
              <w:t>develop and adopt its policy</w:t>
            </w:r>
            <w:r>
              <w:t xml:space="preserve">, and make those timely revisions </w:t>
            </w:r>
            <w:r>
              <w:t>to the policy,</w:t>
            </w:r>
            <w:r w:rsidRPr="00A11A05">
              <w:t xml:space="preserve"> jointly with its associated governmental entity</w:t>
            </w:r>
            <w:r>
              <w:t xml:space="preserve">; </w:t>
            </w:r>
          </w:p>
          <w:p w14:paraId="2324E73F" w14:textId="3567B90B" w:rsidR="001844F6" w:rsidRDefault="005E0A77" w:rsidP="00D75982">
            <w:pPr>
              <w:pStyle w:val="Header"/>
              <w:numPr>
                <w:ilvl w:val="0"/>
                <w:numId w:val="4"/>
              </w:numPr>
              <w:tabs>
                <w:tab w:val="clear" w:pos="4320"/>
                <w:tab w:val="clear" w:pos="8640"/>
              </w:tabs>
              <w:contextualSpacing/>
              <w:jc w:val="both"/>
            </w:pPr>
            <w:r>
              <w:t>requires the governing body of a system to post a copy of the most recent edition of the policy on a public</w:t>
            </w:r>
            <w:r w:rsidR="00635C6B">
              <w:t>ly</w:t>
            </w:r>
            <w:r>
              <w:t xml:space="preserve"> available </w:t>
            </w:r>
            <w:r w:rsidR="00FA5C46">
              <w:t>w</w:t>
            </w:r>
            <w:r>
              <w:t>e</w:t>
            </w:r>
            <w:r w:rsidR="00FA5C46">
              <w:t>bsite</w:t>
            </w:r>
            <w:r>
              <w:t xml:space="preserve">; </w:t>
            </w:r>
          </w:p>
          <w:p w14:paraId="59C81A00" w14:textId="77777777" w:rsidR="00093B5C" w:rsidRDefault="005E0A77" w:rsidP="00D75982">
            <w:pPr>
              <w:pStyle w:val="Header"/>
              <w:numPr>
                <w:ilvl w:val="0"/>
                <w:numId w:val="5"/>
              </w:numPr>
              <w:tabs>
                <w:tab w:val="clear" w:pos="4320"/>
                <w:tab w:val="clear" w:pos="8640"/>
              </w:tabs>
              <w:contextualSpacing/>
              <w:jc w:val="both"/>
            </w:pPr>
            <w:r>
              <w:t xml:space="preserve">requires the policy to outline any automatic contribution or </w:t>
            </w:r>
            <w:r>
              <w:t>benefit changes designed to prevent having to formulate a revised funding soundness restoration plan; and</w:t>
            </w:r>
          </w:p>
          <w:p w14:paraId="6C9A6217" w14:textId="77777777" w:rsidR="00093B5C" w:rsidRDefault="005E0A77" w:rsidP="00D75982">
            <w:pPr>
              <w:pStyle w:val="Header"/>
              <w:numPr>
                <w:ilvl w:val="0"/>
                <w:numId w:val="5"/>
              </w:numPr>
              <w:tabs>
                <w:tab w:val="clear" w:pos="4320"/>
                <w:tab w:val="clear" w:pos="8640"/>
              </w:tabs>
              <w:contextualSpacing/>
              <w:jc w:val="both"/>
            </w:pPr>
            <w:r>
              <w:t xml:space="preserve">authorizes the State Pension Review Board (PRB) to adopt rules necessary to implement the provisions. </w:t>
            </w:r>
          </w:p>
          <w:p w14:paraId="79B2025D" w14:textId="77777777" w:rsidR="00093B5C" w:rsidRDefault="00093B5C" w:rsidP="00D75982">
            <w:pPr>
              <w:pStyle w:val="Header"/>
              <w:tabs>
                <w:tab w:val="clear" w:pos="4320"/>
                <w:tab w:val="clear" w:pos="8640"/>
              </w:tabs>
              <w:contextualSpacing/>
              <w:jc w:val="both"/>
            </w:pPr>
          </w:p>
          <w:p w14:paraId="3D11AD49" w14:textId="5678DBF1" w:rsidR="00093B5C" w:rsidRDefault="005E0A77" w:rsidP="00D75982">
            <w:pPr>
              <w:pStyle w:val="Header"/>
              <w:tabs>
                <w:tab w:val="clear" w:pos="4320"/>
                <w:tab w:val="clear" w:pos="8640"/>
              </w:tabs>
              <w:contextualSpacing/>
              <w:jc w:val="both"/>
            </w:pPr>
            <w:r>
              <w:t>C.S.H.B. 3898</w:t>
            </w:r>
            <w:r w:rsidR="00840347">
              <w:t xml:space="preserve"> makes</w:t>
            </w:r>
            <w:r>
              <w:t>, with respect to funding s</w:t>
            </w:r>
            <w:r>
              <w:t xml:space="preserve">oundness restoration plans for certain public retirement systems, including those </w:t>
            </w:r>
            <w:r w:rsidR="00242000">
              <w:t xml:space="preserve">of </w:t>
            </w:r>
            <w:r>
              <w:t>a municipality with a population of 500,000 or more that on January 1, 2007, ha</w:t>
            </w:r>
            <w:r w:rsidR="00840347">
              <w:t>ve</w:t>
            </w:r>
            <w:r>
              <w:t xml:space="preserve"> a single unitary public retirement system for employees of all departments of the municipality, the following</w:t>
            </w:r>
            <w:r w:rsidR="00956B19">
              <w:t xml:space="preserve"> revisions</w:t>
            </w:r>
            <w:r>
              <w:t>:</w:t>
            </w:r>
          </w:p>
          <w:p w14:paraId="6A319AF7" w14:textId="3DEF563F" w:rsidR="00093B5C" w:rsidRDefault="005E0A77" w:rsidP="00D75982">
            <w:pPr>
              <w:pStyle w:val="Header"/>
              <w:numPr>
                <w:ilvl w:val="0"/>
                <w:numId w:val="2"/>
              </w:numPr>
              <w:tabs>
                <w:tab w:val="clear" w:pos="4320"/>
                <w:tab w:val="clear" w:pos="8640"/>
              </w:tabs>
              <w:contextualSpacing/>
              <w:jc w:val="both"/>
            </w:pPr>
            <w:r>
              <w:t xml:space="preserve">reduces from </w:t>
            </w:r>
            <w:r w:rsidR="00242000">
              <w:t>40</w:t>
            </w:r>
            <w:r>
              <w:t xml:space="preserve"> years to </w:t>
            </w:r>
            <w:r w:rsidR="00242000">
              <w:t>30</w:t>
            </w:r>
            <w:r>
              <w:t xml:space="preserve"> years the</w:t>
            </w:r>
            <w:r w:rsidR="003D0C97">
              <w:t xml:space="preserve"> maximum </w:t>
            </w:r>
            <w:r w:rsidR="00956B19">
              <w:t>period</w:t>
            </w:r>
            <w:r w:rsidR="003D0C97">
              <w:t xml:space="preserve"> of time by which </w:t>
            </w:r>
            <w:r w:rsidR="0036518E">
              <w:t>the</w:t>
            </w:r>
            <w:r w:rsidR="003D0C97">
              <w:t xml:space="preserve"> public retirement system's actual contributions must be sufficient to amortize the unfunded actuarial accrued liability </w:t>
            </w:r>
            <w:r w:rsidR="003F28AD">
              <w:t xml:space="preserve">as determined by an actuarial valuation, the </w:t>
            </w:r>
            <w:r w:rsidR="00242000">
              <w:t>receipt</w:t>
            </w:r>
            <w:r w:rsidR="003F28AD">
              <w:t xml:space="preserve"> of which triggers the requirement for the system to notify</w:t>
            </w:r>
            <w:r w:rsidR="00956B19">
              <w:t xml:space="preserve"> </w:t>
            </w:r>
            <w:r w:rsidR="0036518E">
              <w:t xml:space="preserve">the applicable associated governmental entity </w:t>
            </w:r>
            <w:r w:rsidR="00956B19">
              <w:t>in writing of the insufficient contributions</w:t>
            </w:r>
            <w:r w:rsidR="009018EC">
              <w:t xml:space="preserve">; </w:t>
            </w:r>
          </w:p>
          <w:p w14:paraId="0C12E095" w14:textId="7C8DF5ED" w:rsidR="00093B5C" w:rsidRDefault="005E0A77" w:rsidP="00D75982">
            <w:pPr>
              <w:pStyle w:val="Header"/>
              <w:numPr>
                <w:ilvl w:val="0"/>
                <w:numId w:val="2"/>
              </w:numPr>
              <w:tabs>
                <w:tab w:val="clear" w:pos="4320"/>
                <w:tab w:val="clear" w:pos="8640"/>
              </w:tabs>
              <w:contextualSpacing/>
              <w:jc w:val="both"/>
            </w:pPr>
            <w:r>
              <w:t>revises the requirement</w:t>
            </w:r>
            <w:r w:rsidR="00E73345">
              <w:t>s</w:t>
            </w:r>
            <w:r>
              <w:t xml:space="preserve"> for </w:t>
            </w:r>
            <w:r w:rsidR="00EB1636">
              <w:t xml:space="preserve">the </w:t>
            </w:r>
            <w:r w:rsidR="008268D4">
              <w:t xml:space="preserve">governing body </w:t>
            </w:r>
            <w:r w:rsidR="00E73345">
              <w:t xml:space="preserve">of a </w:t>
            </w:r>
            <w:r>
              <w:t>public retirement system and</w:t>
            </w:r>
            <w:r w:rsidR="00E73345">
              <w:t xml:space="preserve"> of</w:t>
            </w:r>
            <w:r>
              <w:t xml:space="preserve"> the associated governmental entity,</w:t>
            </w:r>
            <w:r w:rsidR="00EB1636">
              <w:t xml:space="preserve"> </w:t>
            </w:r>
            <w:r w:rsidR="00530CC3">
              <w:t xml:space="preserve">in accordance with the system's governing statutes, </w:t>
            </w:r>
            <w:r>
              <w:t>to formulate a funding soundness restoration plan by requiring such a plan</w:t>
            </w:r>
            <w:r>
              <w:t xml:space="preserve"> to be developed by or jointly with the governing body of the </w:t>
            </w:r>
            <w:r w:rsidR="00E73345">
              <w:t xml:space="preserve">respective </w:t>
            </w:r>
            <w:r>
              <w:t>associated governmental entity</w:t>
            </w:r>
            <w:r w:rsidR="00883AB5">
              <w:t>, as applicable,</w:t>
            </w:r>
            <w:r>
              <w:t xml:space="preserve"> if the system's actuarial valuation shows that the system's expected funding period:</w:t>
            </w:r>
          </w:p>
          <w:p w14:paraId="4B3E685B" w14:textId="77777777" w:rsidR="00093B5C" w:rsidRDefault="005E0A77" w:rsidP="00D75982">
            <w:pPr>
              <w:pStyle w:val="Header"/>
              <w:numPr>
                <w:ilvl w:val="1"/>
                <w:numId w:val="1"/>
              </w:numPr>
              <w:contextualSpacing/>
              <w:jc w:val="both"/>
            </w:pPr>
            <w:r>
              <w:t xml:space="preserve">has exceeded 30 years for three consecutive annual </w:t>
            </w:r>
            <w:r>
              <w:t>actuarial valuations, or two consecutive annual actuarial valuations in the case of a system that conducts the valuations every two or three years; or</w:t>
            </w:r>
          </w:p>
          <w:p w14:paraId="343635B0" w14:textId="77777777" w:rsidR="00093B5C" w:rsidRDefault="005E0A77" w:rsidP="00D75982">
            <w:pPr>
              <w:pStyle w:val="Header"/>
              <w:numPr>
                <w:ilvl w:val="1"/>
                <w:numId w:val="1"/>
              </w:numPr>
              <w:contextualSpacing/>
              <w:jc w:val="both"/>
            </w:pPr>
            <w:r>
              <w:t>effective September 1, 2025:</w:t>
            </w:r>
          </w:p>
          <w:p w14:paraId="1EB6777B" w14:textId="77777777" w:rsidR="00093B5C" w:rsidRDefault="005E0A77" w:rsidP="00D75982">
            <w:pPr>
              <w:pStyle w:val="Header"/>
              <w:numPr>
                <w:ilvl w:val="2"/>
                <w:numId w:val="1"/>
              </w:numPr>
              <w:contextualSpacing/>
              <w:jc w:val="both"/>
            </w:pPr>
            <w:r>
              <w:t>exceeds 40 years; or</w:t>
            </w:r>
          </w:p>
          <w:p w14:paraId="59127BA7" w14:textId="77777777" w:rsidR="00093B5C" w:rsidRDefault="005E0A77" w:rsidP="00D75982">
            <w:pPr>
              <w:pStyle w:val="Header"/>
              <w:numPr>
                <w:ilvl w:val="2"/>
                <w:numId w:val="1"/>
              </w:numPr>
              <w:tabs>
                <w:tab w:val="clear" w:pos="4320"/>
                <w:tab w:val="clear" w:pos="8640"/>
              </w:tabs>
              <w:contextualSpacing/>
              <w:jc w:val="both"/>
            </w:pPr>
            <w:r>
              <w:t xml:space="preserve">exceeds 30 years and the funded ratio of the system is </w:t>
            </w:r>
            <w:r>
              <w:t>less than 65 percent; and</w:t>
            </w:r>
          </w:p>
          <w:p w14:paraId="351EAAEF" w14:textId="3BE5D8ED" w:rsidR="00093B5C" w:rsidRDefault="005E0A77" w:rsidP="00D75982">
            <w:pPr>
              <w:pStyle w:val="Header"/>
              <w:numPr>
                <w:ilvl w:val="0"/>
                <w:numId w:val="1"/>
              </w:numPr>
              <w:tabs>
                <w:tab w:val="clear" w:pos="4320"/>
                <w:tab w:val="clear" w:pos="8640"/>
              </w:tabs>
              <w:contextualSpacing/>
              <w:jc w:val="both"/>
            </w:pPr>
            <w:r>
              <w:t>revises requirements for a funding soundness restoration plan to be designed to achieve a contribution rate that will be sufficient to amortize the unfunded actuarial accrued liability within 40 years not later than the 10th anniv</w:t>
            </w:r>
            <w:r>
              <w:t xml:space="preserve">ersary of the date on which the final version of a plan is agreed to by requiring the contribution rate to </w:t>
            </w:r>
            <w:r w:rsidR="00C54423">
              <w:t>amortize</w:t>
            </w:r>
            <w:r>
              <w:t xml:space="preserve"> the liability within 30 years not later than the later of:</w:t>
            </w:r>
          </w:p>
          <w:p w14:paraId="74905090" w14:textId="77777777" w:rsidR="00093B5C" w:rsidRDefault="005E0A77" w:rsidP="00D75982">
            <w:pPr>
              <w:pStyle w:val="Header"/>
              <w:numPr>
                <w:ilvl w:val="1"/>
                <w:numId w:val="1"/>
              </w:numPr>
              <w:tabs>
                <w:tab w:val="clear" w:pos="4320"/>
                <w:tab w:val="clear" w:pos="8640"/>
              </w:tabs>
              <w:contextualSpacing/>
              <w:jc w:val="both"/>
            </w:pPr>
            <w:r>
              <w:t>the second anniversary of the valuation date stated in the actuarial valuation th</w:t>
            </w:r>
            <w:r>
              <w:t>at required formulation of the plan; or</w:t>
            </w:r>
          </w:p>
          <w:p w14:paraId="5F6F97ED" w14:textId="77777777" w:rsidR="00093B5C" w:rsidRDefault="005E0A77" w:rsidP="00D75982">
            <w:pPr>
              <w:pStyle w:val="Header"/>
              <w:numPr>
                <w:ilvl w:val="1"/>
                <w:numId w:val="1"/>
              </w:numPr>
              <w:tabs>
                <w:tab w:val="clear" w:pos="4320"/>
                <w:tab w:val="clear" w:pos="8640"/>
              </w:tabs>
              <w:contextualSpacing/>
              <w:jc w:val="both"/>
            </w:pPr>
            <w:r>
              <w:t>September 1, 2025.</w:t>
            </w:r>
          </w:p>
          <w:p w14:paraId="5724436D" w14:textId="77777777" w:rsidR="00093B5C" w:rsidRDefault="00093B5C" w:rsidP="00D75982">
            <w:pPr>
              <w:pStyle w:val="Header"/>
              <w:tabs>
                <w:tab w:val="clear" w:pos="4320"/>
                <w:tab w:val="clear" w:pos="8640"/>
              </w:tabs>
              <w:contextualSpacing/>
              <w:jc w:val="both"/>
            </w:pPr>
          </w:p>
          <w:p w14:paraId="253B8EC1" w14:textId="3AAFF8FE" w:rsidR="00093B5C" w:rsidRDefault="005E0A77" w:rsidP="00D75982">
            <w:pPr>
              <w:pStyle w:val="Header"/>
              <w:tabs>
                <w:tab w:val="clear" w:pos="4320"/>
                <w:tab w:val="clear" w:pos="8640"/>
              </w:tabs>
              <w:contextualSpacing/>
              <w:jc w:val="both"/>
            </w:pPr>
            <w:r>
              <w:t xml:space="preserve">C.S.H.B. 3898 </w:t>
            </w:r>
            <w:r w:rsidR="00635C6B">
              <w:t xml:space="preserve">provides the following regarding </w:t>
            </w:r>
            <w:r>
              <w:t>a funding soundness restoration plan</w:t>
            </w:r>
            <w:r w:rsidR="00420F63">
              <w:t>:</w:t>
            </w:r>
          </w:p>
          <w:p w14:paraId="51E9B4AD" w14:textId="40F6F45D" w:rsidR="00093B5C" w:rsidRDefault="005E0A77" w:rsidP="00D75982">
            <w:pPr>
              <w:pStyle w:val="Header"/>
              <w:numPr>
                <w:ilvl w:val="0"/>
                <w:numId w:val="1"/>
              </w:numPr>
              <w:tabs>
                <w:tab w:val="clear" w:pos="4320"/>
                <w:tab w:val="clear" w:pos="8640"/>
              </w:tabs>
              <w:contextualSpacing/>
              <w:jc w:val="both"/>
            </w:pPr>
            <w:r>
              <w:t xml:space="preserve">a plan must be based on certain </w:t>
            </w:r>
            <w:r w:rsidR="00EB1636">
              <w:t xml:space="preserve">approved </w:t>
            </w:r>
            <w:r>
              <w:t xml:space="preserve">actions, as applicable, agreed to be taken by the </w:t>
            </w:r>
            <w:r w:rsidR="00EB1636">
              <w:t xml:space="preserve">respective </w:t>
            </w:r>
            <w:r>
              <w:t>system an</w:t>
            </w:r>
            <w:r>
              <w:t>d entity before the plan was adopted; and</w:t>
            </w:r>
          </w:p>
          <w:p w14:paraId="0DC5224C" w14:textId="7FFA2ABD" w:rsidR="00093B5C" w:rsidRDefault="005E0A77" w:rsidP="00D75982">
            <w:pPr>
              <w:pStyle w:val="Header"/>
              <w:numPr>
                <w:ilvl w:val="0"/>
                <w:numId w:val="1"/>
              </w:numPr>
              <w:tabs>
                <w:tab w:val="clear" w:pos="4320"/>
                <w:tab w:val="clear" w:pos="8640"/>
              </w:tabs>
              <w:contextualSpacing/>
              <w:jc w:val="both"/>
            </w:pPr>
            <w:r>
              <w:t>a plan must be adopted at open meetings of the respective governing bodies of the</w:t>
            </w:r>
            <w:r w:rsidR="00EB1636">
              <w:t xml:space="preserve"> applicable </w:t>
            </w:r>
            <w:r w:rsidR="00530CC3">
              <w:t>governing body of a public retirement system and the associated governmental entity, in accordance with the system's governing statutes,</w:t>
            </w:r>
            <w:r>
              <w:t xml:space="preserve"> not later than the second anniversary of the date the </w:t>
            </w:r>
            <w:r w:rsidR="008269DA">
              <w:t xml:space="preserve">applicable </w:t>
            </w:r>
            <w:r>
              <w:t xml:space="preserve">actuarial valuation was adopted by the </w:t>
            </w:r>
            <w:r w:rsidR="005E52B1">
              <w:t xml:space="preserve">applicable </w:t>
            </w:r>
            <w:r>
              <w:t>governing body.</w:t>
            </w:r>
          </w:p>
          <w:p w14:paraId="5EC18218" w14:textId="77777777" w:rsidR="00093B5C" w:rsidRDefault="00093B5C" w:rsidP="00D75982">
            <w:pPr>
              <w:pStyle w:val="Header"/>
              <w:tabs>
                <w:tab w:val="clear" w:pos="4320"/>
                <w:tab w:val="clear" w:pos="8640"/>
              </w:tabs>
              <w:contextualSpacing/>
              <w:jc w:val="both"/>
            </w:pPr>
          </w:p>
          <w:p w14:paraId="792B3830" w14:textId="3B468B1F" w:rsidR="00093B5C" w:rsidRDefault="005E0A77" w:rsidP="00D75982">
            <w:pPr>
              <w:pStyle w:val="Header"/>
              <w:tabs>
                <w:tab w:val="clear" w:pos="4320"/>
                <w:tab w:val="clear" w:pos="8640"/>
              </w:tabs>
              <w:contextualSpacing/>
              <w:jc w:val="both"/>
            </w:pPr>
            <w:r>
              <w:t>C.S.H.B. 3898 requires the respective entit</w:t>
            </w:r>
            <w:r w:rsidR="00FC4F1C">
              <w:t>ies</w:t>
            </w:r>
            <w:r>
              <w:t xml:space="preserve"> that have an existing funding soundness restoration plan to formulate a revised plan if the </w:t>
            </w:r>
            <w:r w:rsidR="00656D48">
              <w:t xml:space="preserve">applicable </w:t>
            </w:r>
            <w:r>
              <w:t xml:space="preserve">system </w:t>
            </w:r>
            <w:r w:rsidR="00530CC3">
              <w:t>becomes subject to the funding soundness restoration plan</w:t>
            </w:r>
            <w:r>
              <w:t xml:space="preserve"> before the 10th anniversary of the date by which the plan was designed to have achieved</w:t>
            </w:r>
            <w:r>
              <w:t xml:space="preserve"> the desired contribution rate. The bill exempts the</w:t>
            </w:r>
            <w:r w:rsidR="00FC4F1C">
              <w:t xml:space="preserve"> respective</w:t>
            </w:r>
            <w:r>
              <w:t xml:space="preserve"> entit</w:t>
            </w:r>
            <w:r w:rsidR="00FC4F1C">
              <w:t>ies</w:t>
            </w:r>
            <w:r>
              <w:t xml:space="preserve"> from that requirement </w:t>
            </w:r>
            <w:r w:rsidR="00C85334">
              <w:t>under certain conditions</w:t>
            </w:r>
            <w:r>
              <w:t>.</w:t>
            </w:r>
          </w:p>
          <w:p w14:paraId="3828D167" w14:textId="10AD8B54" w:rsidR="00FC4F1C" w:rsidRDefault="00FC4F1C" w:rsidP="00D75982">
            <w:pPr>
              <w:pStyle w:val="Header"/>
              <w:contextualSpacing/>
              <w:jc w:val="both"/>
            </w:pPr>
          </w:p>
          <w:p w14:paraId="1F64FC79" w14:textId="4BC56697" w:rsidR="00FC4F1C" w:rsidRDefault="005E0A77" w:rsidP="00D75982">
            <w:pPr>
              <w:pStyle w:val="Header"/>
              <w:tabs>
                <w:tab w:val="clear" w:pos="4320"/>
                <w:tab w:val="clear" w:pos="8640"/>
              </w:tabs>
              <w:contextualSpacing/>
              <w:jc w:val="both"/>
            </w:pPr>
            <w:r>
              <w:t>C.S.H.B. 3898 requires a revised funding soundness restoration plan to</w:t>
            </w:r>
            <w:r w:rsidR="00420F63">
              <w:t xml:space="preserve"> be, as follows</w:t>
            </w:r>
            <w:r>
              <w:t>:</w:t>
            </w:r>
          </w:p>
          <w:p w14:paraId="00367A63" w14:textId="0E5FB1A1" w:rsidR="00FC4F1C" w:rsidRDefault="005E0A77" w:rsidP="00D75982">
            <w:pPr>
              <w:pStyle w:val="Header"/>
              <w:numPr>
                <w:ilvl w:val="0"/>
                <w:numId w:val="1"/>
              </w:numPr>
              <w:contextualSpacing/>
              <w:jc w:val="both"/>
            </w:pPr>
            <w:r>
              <w:t>developed by the</w:t>
            </w:r>
            <w:r w:rsidR="00646547">
              <w:t xml:space="preserve"> </w:t>
            </w:r>
            <w:r w:rsidR="00411AF0">
              <w:t>respective entities</w:t>
            </w:r>
            <w:r>
              <w:t xml:space="preserve"> in accordance with the system's governing statute;</w:t>
            </w:r>
          </w:p>
          <w:p w14:paraId="4501E5EE" w14:textId="082E1342" w:rsidR="00FC4F1C" w:rsidRDefault="005E0A77" w:rsidP="00D75982">
            <w:pPr>
              <w:pStyle w:val="Header"/>
              <w:numPr>
                <w:ilvl w:val="0"/>
                <w:numId w:val="1"/>
              </w:numPr>
              <w:contextualSpacing/>
              <w:jc w:val="both"/>
            </w:pPr>
            <w:r>
              <w:t>designed to achieve a contribution rate that will be sufficient to amortize the unfunded actuarial accrued liability within 25 years not later than the second anniversary of the valuation date stated in t</w:t>
            </w:r>
            <w:r>
              <w:t>he actuarial valuation that required formulation of the revised plan;</w:t>
            </w:r>
          </w:p>
          <w:p w14:paraId="6D659AED" w14:textId="6AA56D11" w:rsidR="00C85334" w:rsidRDefault="005E0A77" w:rsidP="00D75982">
            <w:pPr>
              <w:pStyle w:val="Header"/>
              <w:numPr>
                <w:ilvl w:val="0"/>
                <w:numId w:val="1"/>
              </w:numPr>
              <w:contextualSpacing/>
              <w:jc w:val="both"/>
            </w:pPr>
            <w:r>
              <w:t>based on certain</w:t>
            </w:r>
            <w:r w:rsidR="00411AF0">
              <w:t xml:space="preserve"> approved</w:t>
            </w:r>
            <w:r>
              <w:t xml:space="preserve"> actions, as applicable, agreed to be taken by the respective entities before the plan was adopted; and</w:t>
            </w:r>
          </w:p>
          <w:p w14:paraId="6CC6CE4F" w14:textId="675617D0" w:rsidR="00FC4F1C" w:rsidRDefault="005E0A77" w:rsidP="00D75982">
            <w:pPr>
              <w:pStyle w:val="Header"/>
              <w:numPr>
                <w:ilvl w:val="0"/>
                <w:numId w:val="1"/>
              </w:numPr>
              <w:contextualSpacing/>
              <w:jc w:val="both"/>
            </w:pPr>
            <w:r>
              <w:t>adopted at an open mee</w:t>
            </w:r>
            <w:r w:rsidR="00646547">
              <w:t xml:space="preserve">ting of the respective governing bodies </w:t>
            </w:r>
            <w:r>
              <w:t>not later than the second anniversary of the date the applicable actuarial valuation was adopted by the applicable governing body.</w:t>
            </w:r>
          </w:p>
          <w:p w14:paraId="0A178F7D" w14:textId="77777777" w:rsidR="00093B5C" w:rsidRDefault="00093B5C" w:rsidP="00D75982">
            <w:pPr>
              <w:pStyle w:val="Header"/>
              <w:tabs>
                <w:tab w:val="clear" w:pos="4320"/>
                <w:tab w:val="clear" w:pos="8640"/>
              </w:tabs>
              <w:contextualSpacing/>
              <w:jc w:val="both"/>
            </w:pPr>
          </w:p>
          <w:p w14:paraId="44BA9893" w14:textId="75139E12" w:rsidR="00093B5C" w:rsidRDefault="005E0A77" w:rsidP="00D75982">
            <w:pPr>
              <w:pStyle w:val="Header"/>
              <w:tabs>
                <w:tab w:val="clear" w:pos="4320"/>
                <w:tab w:val="clear" w:pos="8640"/>
              </w:tabs>
              <w:contextualSpacing/>
              <w:jc w:val="both"/>
            </w:pPr>
            <w:r>
              <w:t>C.S.H.B. 3898 prohibits a funding soundness restoration plan, including a revised plan, from including actions that are</w:t>
            </w:r>
            <w:r>
              <w:t xml:space="preserve"> subject to future approval by the respective </w:t>
            </w:r>
            <w:r w:rsidR="00FC4F1C">
              <w:t>entities</w:t>
            </w:r>
            <w:r>
              <w:t xml:space="preserve">. </w:t>
            </w:r>
            <w:r w:rsidR="0073632E">
              <w:t xml:space="preserve">The bill authorizes a system, not later than the 90th day after the date on which the plan is adopted by the applicable governing body, to submit to the PRB an actuarial valuation that shows the combined aspect of all changes to a funding soundness restoration plan adopted under the bill's provisions. If a system does not provide an actuarial valuation to the PRB, the PRB may request that the system provide a separate analysis of the combined impact of all changes to a funding soundness restoration plan not later than the 90th day after the date the PRB makes the request. </w:t>
            </w:r>
            <w:r>
              <w:t>The</w:t>
            </w:r>
            <w:r w:rsidR="00347CFA">
              <w:t xml:space="preserve"> </w:t>
            </w:r>
            <w:r w:rsidR="00333A24">
              <w:t xml:space="preserve">bill </w:t>
            </w:r>
            <w:r w:rsidR="00347CFA">
              <w:t>provides for the required contents of the</w:t>
            </w:r>
            <w:r>
              <w:t xml:space="preserve"> </w:t>
            </w:r>
            <w:r w:rsidR="0073632E">
              <w:t xml:space="preserve">actuarial valuation or separate </w:t>
            </w:r>
            <w:r>
              <w:t>analysis.</w:t>
            </w:r>
            <w:r w:rsidR="00347CFA">
              <w:t xml:space="preserve"> </w:t>
            </w:r>
            <w:r>
              <w:t xml:space="preserve">The bill authorizes the </w:t>
            </w:r>
            <w:r w:rsidR="00411AF0">
              <w:t xml:space="preserve">respective </w:t>
            </w:r>
            <w:r>
              <w:t>assoc</w:t>
            </w:r>
            <w:r>
              <w:t xml:space="preserve">iated governmental entity to pay all or part of the costs of the </w:t>
            </w:r>
            <w:r w:rsidR="00347CFA">
              <w:t xml:space="preserve">separate </w:t>
            </w:r>
            <w:r>
              <w:t>analysis, as applicable</w:t>
            </w:r>
            <w:r w:rsidR="00500BC6">
              <w:t>,</w:t>
            </w:r>
            <w:r w:rsidR="00347CFA">
              <w:t xml:space="preserve"> and requires t</w:t>
            </w:r>
            <w:r>
              <w:t xml:space="preserve">he public retirement system </w:t>
            </w:r>
            <w:r w:rsidR="00347CFA">
              <w:t xml:space="preserve">to </w:t>
            </w:r>
            <w:r>
              <w:t xml:space="preserve">pay any costs for the analysis not paid by the entity.  </w:t>
            </w:r>
          </w:p>
          <w:p w14:paraId="457C0C0E" w14:textId="77777777" w:rsidR="00093B5C" w:rsidRDefault="00093B5C" w:rsidP="00D75982">
            <w:pPr>
              <w:pStyle w:val="Header"/>
              <w:tabs>
                <w:tab w:val="clear" w:pos="4320"/>
                <w:tab w:val="clear" w:pos="8640"/>
              </w:tabs>
              <w:contextualSpacing/>
              <w:jc w:val="both"/>
            </w:pPr>
          </w:p>
          <w:p w14:paraId="42E747F5" w14:textId="20EEEF49" w:rsidR="00093B5C" w:rsidRDefault="005E0A77" w:rsidP="00D75982">
            <w:pPr>
              <w:pStyle w:val="Header"/>
              <w:tabs>
                <w:tab w:val="clear" w:pos="4320"/>
                <w:tab w:val="clear" w:pos="8640"/>
              </w:tabs>
              <w:contextualSpacing/>
              <w:jc w:val="both"/>
            </w:pPr>
            <w:r>
              <w:t>C.S.H.B. 3898 requires a public retirement system</w:t>
            </w:r>
            <w:r w:rsidR="00B12957">
              <w:t xml:space="preserve">, the </w:t>
            </w:r>
            <w:r w:rsidR="009367C0">
              <w:t>governing body of a public retirement system, and the associated governmental entity, in accordance with the system's governing statute,</w:t>
            </w:r>
            <w:r>
              <w:t xml:space="preserve"> required to formulate a f</w:t>
            </w:r>
            <w:r w:rsidR="008A24AB">
              <w:t>u</w:t>
            </w:r>
            <w:r>
              <w:t>nding soundness restoration plan, including a revised plan, to provide a report to the PRB o</w:t>
            </w:r>
            <w:r>
              <w:t xml:space="preserve">n progress made by the </w:t>
            </w:r>
            <w:r w:rsidR="008A24AB">
              <w:t>respective entities</w:t>
            </w:r>
            <w:r>
              <w:t xml:space="preserve"> in formulating the plan, </w:t>
            </w:r>
            <w:r w:rsidRPr="00CC3E43">
              <w:t>including a draft of any plan and a description of any changes under consideration for inclusion in a plan, not later than the first anniversary of the date of the actuarial valuation that</w:t>
            </w:r>
            <w:r w:rsidRPr="00CC3E43">
              <w:t xml:space="preserve"> required formulation of the pla</w:t>
            </w:r>
            <w:r>
              <w:t xml:space="preserve">n </w:t>
            </w:r>
            <w:r w:rsidRPr="00CC3E43">
              <w:t>and each subsequent six-month period until the plan is submitted to the board</w:t>
            </w:r>
            <w:r>
              <w:t>.</w:t>
            </w:r>
          </w:p>
          <w:p w14:paraId="3DC057CC" w14:textId="77777777" w:rsidR="00093B5C" w:rsidRDefault="00093B5C" w:rsidP="00D75982">
            <w:pPr>
              <w:pStyle w:val="Header"/>
              <w:tabs>
                <w:tab w:val="clear" w:pos="4320"/>
                <w:tab w:val="clear" w:pos="8640"/>
              </w:tabs>
              <w:contextualSpacing/>
              <w:jc w:val="both"/>
            </w:pPr>
          </w:p>
          <w:p w14:paraId="16F50621" w14:textId="095E9066" w:rsidR="00093B5C" w:rsidRDefault="005E0A77" w:rsidP="00D75982">
            <w:pPr>
              <w:pStyle w:val="Header"/>
              <w:tabs>
                <w:tab w:val="clear" w:pos="4320"/>
                <w:tab w:val="clear" w:pos="8640"/>
              </w:tabs>
              <w:contextualSpacing/>
              <w:jc w:val="both"/>
            </w:pPr>
            <w:r>
              <w:t xml:space="preserve">C.S.H.B. 3898 </w:t>
            </w:r>
            <w:r w:rsidR="008A24AB">
              <w:t xml:space="preserve">changes the deadline by which </w:t>
            </w:r>
            <w:r>
              <w:t>each public retirement system</w:t>
            </w:r>
            <w:r w:rsidR="009367C0">
              <w:t>, each governing body of each public retirement system, and each associated governmental entity, in accordance with the system's governing statute,</w:t>
            </w:r>
            <w:r>
              <w:t xml:space="preserve"> that formulates a funding soundness restoration plan </w:t>
            </w:r>
            <w:r w:rsidR="008A24AB">
              <w:t xml:space="preserve">must </w:t>
            </w:r>
            <w:r>
              <w:t xml:space="preserve">submit a copy of that plan to the PRB </w:t>
            </w:r>
            <w:r w:rsidR="008A24AB">
              <w:t>from</w:t>
            </w:r>
            <w:r>
              <w:t xml:space="preserve"> not later than the 31st day after the date on which the plan</w:t>
            </w:r>
            <w:r w:rsidR="008A24AB">
              <w:t xml:space="preserve"> is formulated to</w:t>
            </w:r>
            <w:r>
              <w:t xml:space="preserve"> not later than the </w:t>
            </w:r>
            <w:r w:rsidRPr="000159B5">
              <w:t>31st day after the date on which the plan is adopted by</w:t>
            </w:r>
            <w:r>
              <w:t xml:space="preserve"> </w:t>
            </w:r>
            <w:r w:rsidR="008A24AB">
              <w:t>the respective entities</w:t>
            </w:r>
            <w:r>
              <w:t>.</w:t>
            </w:r>
            <w:r w:rsidR="008A24AB">
              <w:t xml:space="preserve"> The bill removes the requirement</w:t>
            </w:r>
            <w:r w:rsidR="00830AB4">
              <w:t xml:space="preserve"> for the entities to submit a copy of any change to the plan.</w:t>
            </w:r>
          </w:p>
          <w:p w14:paraId="50F8CB5F" w14:textId="77777777" w:rsidR="00093B5C" w:rsidRDefault="00093B5C" w:rsidP="00D75982">
            <w:pPr>
              <w:pStyle w:val="Header"/>
              <w:tabs>
                <w:tab w:val="clear" w:pos="4320"/>
                <w:tab w:val="clear" w:pos="8640"/>
              </w:tabs>
              <w:contextualSpacing/>
              <w:jc w:val="both"/>
            </w:pPr>
          </w:p>
          <w:p w14:paraId="739EDBDE" w14:textId="7B9010C3" w:rsidR="009C36CD" w:rsidRDefault="005E0A77" w:rsidP="00D75982">
            <w:pPr>
              <w:pStyle w:val="Header"/>
              <w:tabs>
                <w:tab w:val="clear" w:pos="4320"/>
                <w:tab w:val="clear" w:pos="8640"/>
              </w:tabs>
              <w:contextualSpacing/>
              <w:jc w:val="both"/>
            </w:pPr>
            <w:r>
              <w:t>C.S.H.B. 3898 authorizes the PRB to adopt rules as nece</w:t>
            </w:r>
            <w:r>
              <w:t xml:space="preserve">ssary to implement the bill's provisions relating to funding soundness restoration plans.     </w:t>
            </w:r>
          </w:p>
          <w:p w14:paraId="60E0096A" w14:textId="47F00818" w:rsidR="0046309A" w:rsidRDefault="0046309A" w:rsidP="00D75982">
            <w:pPr>
              <w:pStyle w:val="Header"/>
              <w:tabs>
                <w:tab w:val="clear" w:pos="4320"/>
                <w:tab w:val="clear" w:pos="8640"/>
              </w:tabs>
              <w:contextualSpacing/>
              <w:jc w:val="both"/>
            </w:pPr>
          </w:p>
          <w:p w14:paraId="5E73546A" w14:textId="3C74A7FC" w:rsidR="0046309A" w:rsidRDefault="005E0A77" w:rsidP="00D75982">
            <w:pPr>
              <w:pStyle w:val="Header"/>
              <w:tabs>
                <w:tab w:val="clear" w:pos="4320"/>
                <w:tab w:val="clear" w:pos="8640"/>
              </w:tabs>
              <w:contextualSpacing/>
              <w:jc w:val="both"/>
            </w:pPr>
            <w:r>
              <w:t xml:space="preserve">C.S.H.B. 3898 amends </w:t>
            </w:r>
            <w:r w:rsidR="008A01B0">
              <w:t xml:space="preserve">the Texas Local Fire Fighters Retirement Act, Vernon's Texas Civil Statutes, to </w:t>
            </w:r>
            <w:r w:rsidR="00830AB4">
              <w:t>apply to</w:t>
            </w:r>
            <w:r w:rsidR="008A01B0">
              <w:t xml:space="preserve"> a retirement system established under that </w:t>
            </w:r>
            <w:r w:rsidR="00830AB4">
              <w:t>a</w:t>
            </w:r>
            <w:r w:rsidR="008A01B0">
              <w:t xml:space="preserve">ct </w:t>
            </w:r>
            <w:r w:rsidR="00830AB4">
              <w:t xml:space="preserve">the bill's provisions relating to </w:t>
            </w:r>
            <w:r w:rsidR="008A01B0">
              <w:t>funding policies for a public retirement system</w:t>
            </w:r>
            <w:r w:rsidR="00830AB4">
              <w:t xml:space="preserve"> and to the funding soundness restoration plan of certain public retirement systems</w:t>
            </w:r>
            <w:r w:rsidR="008A01B0">
              <w:t>.</w:t>
            </w:r>
          </w:p>
          <w:p w14:paraId="4C7A9493" w14:textId="561C79C3" w:rsidR="00B12957" w:rsidRDefault="00B12957" w:rsidP="00D75982">
            <w:pPr>
              <w:pStyle w:val="Header"/>
              <w:tabs>
                <w:tab w:val="clear" w:pos="4320"/>
                <w:tab w:val="clear" w:pos="8640"/>
              </w:tabs>
              <w:contextualSpacing/>
              <w:jc w:val="both"/>
            </w:pPr>
          </w:p>
          <w:p w14:paraId="1D7822F5" w14:textId="241CFE76" w:rsidR="00B12957" w:rsidRPr="009C36CD" w:rsidRDefault="005E0A77" w:rsidP="00D75982">
            <w:pPr>
              <w:pStyle w:val="Header"/>
              <w:tabs>
                <w:tab w:val="clear" w:pos="4320"/>
                <w:tab w:val="clear" w:pos="8640"/>
              </w:tabs>
              <w:contextualSpacing/>
              <w:jc w:val="both"/>
            </w:pPr>
            <w:r>
              <w:t xml:space="preserve">C.S.H.B. 3898 </w:t>
            </w:r>
            <w:r w:rsidR="000F37F9">
              <w:t xml:space="preserve">sets out conditions under which </w:t>
            </w:r>
            <w:r>
              <w:t>a funding soundness restoration plan formulate</w:t>
            </w:r>
            <w:r>
              <w:t>d or revised before the bill's effective date</w:t>
            </w:r>
            <w:r w:rsidR="001C1A25">
              <w:t xml:space="preserve"> </w:t>
            </w:r>
            <w:r w:rsidR="000F37F9">
              <w:t xml:space="preserve">must be formulated as required by the bill's provisions. </w:t>
            </w:r>
          </w:p>
          <w:p w14:paraId="3065C41E" w14:textId="77777777" w:rsidR="008423E4" w:rsidRPr="00835628" w:rsidRDefault="008423E4" w:rsidP="00D75982">
            <w:pPr>
              <w:contextualSpacing/>
              <w:rPr>
                <w:b/>
              </w:rPr>
            </w:pPr>
          </w:p>
        </w:tc>
      </w:tr>
      <w:tr w:rsidR="00BC6C3A" w14:paraId="3B887B01" w14:textId="77777777" w:rsidTr="00705973">
        <w:tc>
          <w:tcPr>
            <w:tcW w:w="9360" w:type="dxa"/>
          </w:tcPr>
          <w:p w14:paraId="5F15D7DE" w14:textId="77777777" w:rsidR="008423E4" w:rsidRPr="00A8133F" w:rsidRDefault="005E0A77" w:rsidP="00D75982">
            <w:pPr>
              <w:contextualSpacing/>
              <w:rPr>
                <w:b/>
              </w:rPr>
            </w:pPr>
            <w:r w:rsidRPr="009C1E9A">
              <w:rPr>
                <w:b/>
                <w:u w:val="single"/>
              </w:rPr>
              <w:t>EFFECTIVE DATE</w:t>
            </w:r>
            <w:r>
              <w:rPr>
                <w:b/>
              </w:rPr>
              <w:t xml:space="preserve"> </w:t>
            </w:r>
          </w:p>
          <w:p w14:paraId="64074E2A" w14:textId="77777777" w:rsidR="008423E4" w:rsidRDefault="008423E4" w:rsidP="00D75982">
            <w:pPr>
              <w:contextualSpacing/>
            </w:pPr>
          </w:p>
          <w:p w14:paraId="074E9E64" w14:textId="77777777" w:rsidR="008423E4" w:rsidRPr="003624F2" w:rsidRDefault="005E0A77" w:rsidP="00D75982">
            <w:pPr>
              <w:pStyle w:val="Header"/>
              <w:tabs>
                <w:tab w:val="clear" w:pos="4320"/>
                <w:tab w:val="clear" w:pos="8640"/>
              </w:tabs>
              <w:contextualSpacing/>
              <w:jc w:val="both"/>
            </w:pPr>
            <w:r>
              <w:t>September 1, 2021.</w:t>
            </w:r>
          </w:p>
          <w:p w14:paraId="6E1F22D7" w14:textId="77777777" w:rsidR="008423E4" w:rsidRPr="00233FDB" w:rsidRDefault="008423E4" w:rsidP="00D75982">
            <w:pPr>
              <w:contextualSpacing/>
              <w:rPr>
                <w:b/>
              </w:rPr>
            </w:pPr>
          </w:p>
        </w:tc>
      </w:tr>
      <w:tr w:rsidR="00BC6C3A" w14:paraId="2F40F82C" w14:textId="77777777" w:rsidTr="00705973">
        <w:tc>
          <w:tcPr>
            <w:tcW w:w="9360" w:type="dxa"/>
          </w:tcPr>
          <w:p w14:paraId="6CEA9327" w14:textId="77777777" w:rsidR="001734F0" w:rsidRDefault="005E0A77" w:rsidP="00D75982">
            <w:pPr>
              <w:contextualSpacing/>
              <w:jc w:val="both"/>
              <w:rPr>
                <w:b/>
                <w:u w:val="single"/>
              </w:rPr>
            </w:pPr>
            <w:r>
              <w:rPr>
                <w:b/>
                <w:u w:val="single"/>
              </w:rPr>
              <w:t>COMPARISON OF ORIGINAL AND SUBSTITUTE</w:t>
            </w:r>
          </w:p>
          <w:p w14:paraId="12EF1881" w14:textId="77777777" w:rsidR="009A080B" w:rsidRDefault="009A080B" w:rsidP="00D75982">
            <w:pPr>
              <w:contextualSpacing/>
              <w:jc w:val="both"/>
              <w:rPr>
                <w:b/>
                <w:u w:val="single"/>
              </w:rPr>
            </w:pPr>
          </w:p>
          <w:p w14:paraId="7B909519" w14:textId="77777777" w:rsidR="00705973" w:rsidRDefault="005E0A77" w:rsidP="00D75982">
            <w:pPr>
              <w:contextualSpacing/>
              <w:jc w:val="both"/>
            </w:pPr>
            <w:r>
              <w:t xml:space="preserve">While C.S.H.B. 3898 may differ from the original in minor or </w:t>
            </w:r>
            <w:r>
              <w:t>nonsubstantive ways, the following summarizes the substantial differences between the introduced and committee substitute versions of the bill.</w:t>
            </w:r>
          </w:p>
          <w:p w14:paraId="74B4D125" w14:textId="77777777" w:rsidR="00705973" w:rsidRDefault="00705973" w:rsidP="00D75982">
            <w:pPr>
              <w:contextualSpacing/>
              <w:jc w:val="both"/>
            </w:pPr>
          </w:p>
          <w:p w14:paraId="57C87C64" w14:textId="77777777" w:rsidR="00705973" w:rsidRDefault="005E0A77" w:rsidP="00D75982">
            <w:pPr>
              <w:contextualSpacing/>
              <w:jc w:val="both"/>
            </w:pPr>
            <w:r>
              <w:t xml:space="preserve">The substitute includes a provision absent from the original that makes </w:t>
            </w:r>
            <w:r w:rsidRPr="006E56A7">
              <w:t>the bill's provisions relating to fundi</w:t>
            </w:r>
            <w:r w:rsidRPr="006E56A7">
              <w:t>ng policies for a public retirement system and to the funding soundness restoration plan of certain public retirement systems</w:t>
            </w:r>
            <w:r>
              <w:t xml:space="preserve"> applicable</w:t>
            </w:r>
            <w:r w:rsidRPr="006E56A7">
              <w:t xml:space="preserve"> to a retirement system established under </w:t>
            </w:r>
            <w:r>
              <w:t>the Texas Local Fire Fighters Retirement Act.</w:t>
            </w:r>
          </w:p>
          <w:p w14:paraId="4158DD39" w14:textId="77777777" w:rsidR="00705973" w:rsidRDefault="00705973" w:rsidP="00D75982">
            <w:pPr>
              <w:contextualSpacing/>
              <w:jc w:val="both"/>
            </w:pPr>
          </w:p>
          <w:p w14:paraId="092BA5D5" w14:textId="77777777" w:rsidR="00705973" w:rsidRDefault="005E0A77" w:rsidP="00D75982">
            <w:pPr>
              <w:contextualSpacing/>
              <w:jc w:val="both"/>
            </w:pPr>
            <w:r>
              <w:t>The substitute includes a requirement for the governing body of a public retirement system and an associated governmental entity to post, jointly, if applicable, a copy of the most recent edition of the written funding policy on a publicly available websit</w:t>
            </w:r>
            <w:r>
              <w:t>e. The substitute does not include the original's requirement for those entities to submit a copy of the policy and each change to the policy to each active member and annuitant of the system.</w:t>
            </w:r>
          </w:p>
          <w:p w14:paraId="6A8592D9" w14:textId="77777777" w:rsidR="00705973" w:rsidRDefault="00705973" w:rsidP="00D75982">
            <w:pPr>
              <w:contextualSpacing/>
              <w:jc w:val="both"/>
            </w:pPr>
          </w:p>
          <w:p w14:paraId="215F910F" w14:textId="56B13FF8" w:rsidR="00705973" w:rsidRDefault="005E0A77" w:rsidP="00D75982">
            <w:pPr>
              <w:contextualSpacing/>
              <w:jc w:val="both"/>
            </w:pPr>
            <w:r>
              <w:t>The substitute does not include the original's revision to the</w:t>
            </w:r>
            <w:r>
              <w:t xml:space="preserve"> requirement for a system's actual contributions to be sufficient to </w:t>
            </w:r>
            <w:r w:rsidR="00264A8B">
              <w:t xml:space="preserve">fully fund </w:t>
            </w:r>
            <w:r>
              <w:t xml:space="preserve">the system's unfunded actuarial accrued liability within 30 years by requiring the contributions instead to be sufficient to </w:t>
            </w:r>
            <w:r w:rsidR="00264A8B">
              <w:t>amortize</w:t>
            </w:r>
            <w:r>
              <w:t xml:space="preserve"> the unfunded actuarial accrued liability.</w:t>
            </w:r>
          </w:p>
          <w:p w14:paraId="6A4CBA73" w14:textId="77777777" w:rsidR="00705973" w:rsidRDefault="00705973" w:rsidP="00D75982">
            <w:pPr>
              <w:contextualSpacing/>
              <w:jc w:val="both"/>
            </w:pPr>
          </w:p>
          <w:p w14:paraId="1C99AAFE" w14:textId="77777777" w:rsidR="00705973" w:rsidRDefault="005E0A77" w:rsidP="00D75982">
            <w:pPr>
              <w:contextualSpacing/>
              <w:jc w:val="both"/>
            </w:pPr>
            <w:r>
              <w:t>The substitute includes an exemption absent from the original for an applicable governing body from requirements regarding a funding soundness restoration plan if the system is adhering to an existing funding soundness restoration plan that was formulated</w:t>
            </w:r>
            <w:r>
              <w:t xml:space="preserve"> before September 1, 2025. </w:t>
            </w:r>
          </w:p>
          <w:p w14:paraId="4E418440" w14:textId="77777777" w:rsidR="00705973" w:rsidRDefault="00705973" w:rsidP="00D75982">
            <w:pPr>
              <w:contextualSpacing/>
              <w:jc w:val="both"/>
            </w:pPr>
          </w:p>
          <w:p w14:paraId="427B6B02" w14:textId="77777777" w:rsidR="00705973" w:rsidRDefault="005E0A77" w:rsidP="00D75982">
            <w:pPr>
              <w:contextualSpacing/>
              <w:jc w:val="both"/>
            </w:pPr>
            <w:r>
              <w:t>The substitute does not include the original's requirement for a funding soundness restoration plan and a revised</w:t>
            </w:r>
            <w:r>
              <w:t xml:space="preserve"> funding soundness restoration plan to contain an aggregate analysis showing the combined anticipated impact of all changes agreed to be made under a funding soundness restoration plan.  </w:t>
            </w:r>
          </w:p>
          <w:p w14:paraId="13C50AD0" w14:textId="77777777" w:rsidR="00705973" w:rsidRDefault="00705973" w:rsidP="00D75982">
            <w:pPr>
              <w:contextualSpacing/>
              <w:jc w:val="both"/>
            </w:pPr>
          </w:p>
          <w:p w14:paraId="093C944C" w14:textId="77777777" w:rsidR="00705973" w:rsidRDefault="005E0A77" w:rsidP="00D75982">
            <w:pPr>
              <w:contextualSpacing/>
              <w:jc w:val="both"/>
            </w:pPr>
            <w:r>
              <w:t>The substitute includes the following authorizations, which are abs</w:t>
            </w:r>
            <w:r>
              <w:t>ent from the original:</w:t>
            </w:r>
          </w:p>
          <w:p w14:paraId="7411ED11" w14:textId="77777777" w:rsidR="00705973" w:rsidRDefault="005E0A77" w:rsidP="00D75982">
            <w:pPr>
              <w:pStyle w:val="ListParagraph"/>
              <w:numPr>
                <w:ilvl w:val="0"/>
                <w:numId w:val="6"/>
              </w:numPr>
              <w:jc w:val="both"/>
            </w:pPr>
            <w:r>
              <w:t>an authorization for a system to submit by a specified deadline to the PRB an actuarial valuation that shows the combined impact of all changes to an adopted funding soundness restoration plan, including a revised funding soundness r</w:t>
            </w:r>
            <w:r>
              <w:t>estoration plan; and</w:t>
            </w:r>
          </w:p>
          <w:p w14:paraId="6EC08DA0" w14:textId="77777777" w:rsidR="00705973" w:rsidRDefault="005E0A77" w:rsidP="00D75982">
            <w:pPr>
              <w:pStyle w:val="ListParagraph"/>
              <w:numPr>
                <w:ilvl w:val="0"/>
                <w:numId w:val="6"/>
              </w:numPr>
              <w:jc w:val="both"/>
            </w:pPr>
            <w:r>
              <w:t>an authorization for the PRB, if a system does not timely submit the actuarial valuation, to request that the system provide a separate analysis of the combined impact of all changes to an adopted funding soundness restoration plan ado</w:t>
            </w:r>
            <w:r>
              <w:t xml:space="preserve">pted by a specified deadline. </w:t>
            </w:r>
          </w:p>
          <w:p w14:paraId="6C06150E" w14:textId="77777777" w:rsidR="00705973" w:rsidRDefault="00705973" w:rsidP="00D75982">
            <w:pPr>
              <w:contextualSpacing/>
              <w:jc w:val="both"/>
            </w:pPr>
          </w:p>
          <w:p w14:paraId="4062A383" w14:textId="77777777" w:rsidR="00705973" w:rsidRDefault="005E0A77" w:rsidP="00D75982">
            <w:pPr>
              <w:contextualSpacing/>
              <w:jc w:val="both"/>
            </w:pPr>
            <w:r>
              <w:t xml:space="preserve">The substitute includes a requirement absent from the original for an actuarial valuation or separate analysis to include a description of all methods used to perform the analysis, which must comply with actuarial standards </w:t>
            </w:r>
            <w:r>
              <w:t>of practice.</w:t>
            </w:r>
          </w:p>
          <w:p w14:paraId="2327A1F2" w14:textId="77777777" w:rsidR="00705973" w:rsidRDefault="00705973" w:rsidP="00D75982">
            <w:pPr>
              <w:contextualSpacing/>
              <w:jc w:val="both"/>
            </w:pPr>
          </w:p>
          <w:p w14:paraId="79B1A62D" w14:textId="427C9416" w:rsidR="00705973" w:rsidRPr="001734F0" w:rsidRDefault="005E0A77" w:rsidP="00D75982">
            <w:pPr>
              <w:contextualSpacing/>
              <w:jc w:val="both"/>
              <w:rPr>
                <w:b/>
                <w:u w:val="single"/>
              </w:rPr>
            </w:pPr>
            <w:r>
              <w:t>The substitute includes procedural provisions absent from the original establishing conditions under which a funding soundness restoration plan formulated or revised before the bill's effective date must be formulated as required by the bill'</w:t>
            </w:r>
            <w:r>
              <w:t>s provisions.</w:t>
            </w:r>
          </w:p>
        </w:tc>
      </w:tr>
    </w:tbl>
    <w:p w14:paraId="509BE05B" w14:textId="77777777" w:rsidR="008423E4" w:rsidRPr="00BE0E75" w:rsidRDefault="008423E4" w:rsidP="00D75982">
      <w:pPr>
        <w:contextualSpacing/>
        <w:jc w:val="both"/>
        <w:rPr>
          <w:rFonts w:ascii="Arial" w:hAnsi="Arial"/>
          <w:sz w:val="16"/>
          <w:szCs w:val="16"/>
        </w:rPr>
      </w:pPr>
    </w:p>
    <w:p w14:paraId="06FAEAEA" w14:textId="77777777" w:rsidR="004108C3" w:rsidRPr="008423E4" w:rsidRDefault="004108C3" w:rsidP="00D75982">
      <w:pPr>
        <w:contextualSpacing/>
      </w:pPr>
    </w:p>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AD4F3" w14:textId="77777777" w:rsidR="00000000" w:rsidRDefault="005E0A77">
      <w:r>
        <w:separator/>
      </w:r>
    </w:p>
  </w:endnote>
  <w:endnote w:type="continuationSeparator" w:id="0">
    <w:p w14:paraId="5B7BC90D" w14:textId="77777777" w:rsidR="00000000" w:rsidRDefault="005E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EEC07" w14:textId="77777777" w:rsidR="0073632E" w:rsidRDefault="00736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C6C3A" w14:paraId="4E8680BA" w14:textId="77777777" w:rsidTr="009C1E9A">
      <w:trPr>
        <w:cantSplit/>
      </w:trPr>
      <w:tc>
        <w:tcPr>
          <w:tcW w:w="0" w:type="pct"/>
        </w:tcPr>
        <w:p w14:paraId="1415DDDD" w14:textId="77777777" w:rsidR="0073632E" w:rsidRDefault="0073632E" w:rsidP="009C1E9A">
          <w:pPr>
            <w:pStyle w:val="Footer"/>
            <w:tabs>
              <w:tab w:val="clear" w:pos="8640"/>
              <w:tab w:val="right" w:pos="9360"/>
            </w:tabs>
          </w:pPr>
        </w:p>
      </w:tc>
      <w:tc>
        <w:tcPr>
          <w:tcW w:w="2395" w:type="pct"/>
        </w:tcPr>
        <w:p w14:paraId="25ED2002" w14:textId="77777777" w:rsidR="0073632E" w:rsidRDefault="0073632E" w:rsidP="009C1E9A">
          <w:pPr>
            <w:pStyle w:val="Footer"/>
            <w:tabs>
              <w:tab w:val="clear" w:pos="8640"/>
              <w:tab w:val="right" w:pos="9360"/>
            </w:tabs>
          </w:pPr>
        </w:p>
        <w:p w14:paraId="14F1B376" w14:textId="77777777" w:rsidR="0073632E" w:rsidRDefault="0073632E" w:rsidP="009C1E9A">
          <w:pPr>
            <w:pStyle w:val="Footer"/>
            <w:tabs>
              <w:tab w:val="clear" w:pos="8640"/>
              <w:tab w:val="right" w:pos="9360"/>
            </w:tabs>
          </w:pPr>
        </w:p>
        <w:p w14:paraId="177E7B54" w14:textId="77777777" w:rsidR="0073632E" w:rsidRDefault="0073632E" w:rsidP="009C1E9A">
          <w:pPr>
            <w:pStyle w:val="Footer"/>
            <w:tabs>
              <w:tab w:val="clear" w:pos="8640"/>
              <w:tab w:val="right" w:pos="9360"/>
            </w:tabs>
          </w:pPr>
        </w:p>
      </w:tc>
      <w:tc>
        <w:tcPr>
          <w:tcW w:w="2453" w:type="pct"/>
        </w:tcPr>
        <w:p w14:paraId="6A4E079A" w14:textId="77777777" w:rsidR="0073632E" w:rsidRDefault="0073632E" w:rsidP="009C1E9A">
          <w:pPr>
            <w:pStyle w:val="Footer"/>
            <w:tabs>
              <w:tab w:val="clear" w:pos="8640"/>
              <w:tab w:val="right" w:pos="9360"/>
            </w:tabs>
            <w:jc w:val="right"/>
          </w:pPr>
        </w:p>
      </w:tc>
    </w:tr>
    <w:tr w:rsidR="00BC6C3A" w14:paraId="6AEEF70E" w14:textId="77777777" w:rsidTr="009C1E9A">
      <w:trPr>
        <w:cantSplit/>
      </w:trPr>
      <w:tc>
        <w:tcPr>
          <w:tcW w:w="0" w:type="pct"/>
        </w:tcPr>
        <w:p w14:paraId="19053AFC" w14:textId="77777777" w:rsidR="0073632E" w:rsidRDefault="0073632E" w:rsidP="009C1E9A">
          <w:pPr>
            <w:pStyle w:val="Footer"/>
            <w:tabs>
              <w:tab w:val="clear" w:pos="8640"/>
              <w:tab w:val="right" w:pos="9360"/>
            </w:tabs>
          </w:pPr>
        </w:p>
      </w:tc>
      <w:tc>
        <w:tcPr>
          <w:tcW w:w="2395" w:type="pct"/>
        </w:tcPr>
        <w:p w14:paraId="78B4A019" w14:textId="190D0B45" w:rsidR="0073632E" w:rsidRPr="009C1E9A" w:rsidRDefault="005E0A77" w:rsidP="009C1E9A">
          <w:pPr>
            <w:pStyle w:val="Footer"/>
            <w:tabs>
              <w:tab w:val="clear" w:pos="8640"/>
              <w:tab w:val="right" w:pos="9360"/>
            </w:tabs>
            <w:rPr>
              <w:rFonts w:ascii="Shruti" w:hAnsi="Shruti"/>
              <w:sz w:val="22"/>
            </w:rPr>
          </w:pPr>
          <w:r>
            <w:rPr>
              <w:rFonts w:ascii="Shruti" w:hAnsi="Shruti"/>
              <w:sz w:val="22"/>
            </w:rPr>
            <w:t>87R 23241</w:t>
          </w:r>
        </w:p>
      </w:tc>
      <w:tc>
        <w:tcPr>
          <w:tcW w:w="2453" w:type="pct"/>
        </w:tcPr>
        <w:p w14:paraId="446ED505" w14:textId="39EBEEF3" w:rsidR="0073632E" w:rsidRDefault="005E0A77" w:rsidP="009C1E9A">
          <w:pPr>
            <w:pStyle w:val="Footer"/>
            <w:tabs>
              <w:tab w:val="clear" w:pos="8640"/>
              <w:tab w:val="right" w:pos="9360"/>
            </w:tabs>
            <w:jc w:val="right"/>
          </w:pPr>
          <w:r>
            <w:fldChar w:fldCharType="begin"/>
          </w:r>
          <w:r>
            <w:instrText xml:space="preserve"> DOCPROPERTY  OTID  \* MERGEFORMAT </w:instrText>
          </w:r>
          <w:r>
            <w:fldChar w:fldCharType="separate"/>
          </w:r>
          <w:r w:rsidR="00D75982">
            <w:t>21.117.1776</w:t>
          </w:r>
          <w:r>
            <w:fldChar w:fldCharType="end"/>
          </w:r>
        </w:p>
      </w:tc>
    </w:tr>
    <w:tr w:rsidR="00BC6C3A" w14:paraId="448FE179" w14:textId="77777777" w:rsidTr="009C1E9A">
      <w:trPr>
        <w:cantSplit/>
      </w:trPr>
      <w:tc>
        <w:tcPr>
          <w:tcW w:w="0" w:type="pct"/>
        </w:tcPr>
        <w:p w14:paraId="6C88D6E9" w14:textId="77777777" w:rsidR="0073632E" w:rsidRDefault="0073632E" w:rsidP="009C1E9A">
          <w:pPr>
            <w:pStyle w:val="Footer"/>
            <w:tabs>
              <w:tab w:val="clear" w:pos="4320"/>
              <w:tab w:val="clear" w:pos="8640"/>
              <w:tab w:val="left" w:pos="2865"/>
            </w:tabs>
          </w:pPr>
        </w:p>
      </w:tc>
      <w:tc>
        <w:tcPr>
          <w:tcW w:w="2395" w:type="pct"/>
        </w:tcPr>
        <w:p w14:paraId="58A9882D" w14:textId="4B30F75A" w:rsidR="0073632E" w:rsidRPr="009C1E9A" w:rsidRDefault="005E0A77" w:rsidP="009C1E9A">
          <w:pPr>
            <w:pStyle w:val="Footer"/>
            <w:tabs>
              <w:tab w:val="clear" w:pos="4320"/>
              <w:tab w:val="clear" w:pos="8640"/>
              <w:tab w:val="left" w:pos="2865"/>
            </w:tabs>
            <w:rPr>
              <w:rFonts w:ascii="Shruti" w:hAnsi="Shruti"/>
              <w:sz w:val="22"/>
            </w:rPr>
          </w:pPr>
          <w:r>
            <w:rPr>
              <w:rFonts w:ascii="Shruti" w:hAnsi="Shruti"/>
              <w:sz w:val="22"/>
            </w:rPr>
            <w:t>Substitute Document Number: 87R 18559</w:t>
          </w:r>
        </w:p>
      </w:tc>
      <w:tc>
        <w:tcPr>
          <w:tcW w:w="2453" w:type="pct"/>
        </w:tcPr>
        <w:p w14:paraId="7ADA16F6" w14:textId="77777777" w:rsidR="0073632E" w:rsidRDefault="0073632E" w:rsidP="006D504F">
          <w:pPr>
            <w:pStyle w:val="Footer"/>
            <w:rPr>
              <w:rStyle w:val="PageNumber"/>
            </w:rPr>
          </w:pPr>
        </w:p>
        <w:p w14:paraId="1BAFDBCC" w14:textId="77777777" w:rsidR="0073632E" w:rsidRDefault="0073632E" w:rsidP="009C1E9A">
          <w:pPr>
            <w:pStyle w:val="Footer"/>
            <w:tabs>
              <w:tab w:val="clear" w:pos="8640"/>
              <w:tab w:val="right" w:pos="9360"/>
            </w:tabs>
            <w:jc w:val="right"/>
          </w:pPr>
        </w:p>
      </w:tc>
    </w:tr>
    <w:tr w:rsidR="00BC6C3A" w14:paraId="01F97569" w14:textId="77777777" w:rsidTr="009C1E9A">
      <w:trPr>
        <w:cantSplit/>
        <w:trHeight w:val="323"/>
      </w:trPr>
      <w:tc>
        <w:tcPr>
          <w:tcW w:w="0" w:type="pct"/>
          <w:gridSpan w:val="3"/>
        </w:tcPr>
        <w:p w14:paraId="5EC9B9EB" w14:textId="499C8437" w:rsidR="0073632E" w:rsidRDefault="005E0A7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75982">
            <w:rPr>
              <w:rStyle w:val="PageNumber"/>
              <w:noProof/>
            </w:rPr>
            <w:t>3</w:t>
          </w:r>
          <w:r>
            <w:rPr>
              <w:rStyle w:val="PageNumber"/>
            </w:rPr>
            <w:fldChar w:fldCharType="end"/>
          </w:r>
        </w:p>
        <w:p w14:paraId="7BEE59D7" w14:textId="77777777" w:rsidR="0073632E" w:rsidRDefault="0073632E" w:rsidP="009C1E9A">
          <w:pPr>
            <w:pStyle w:val="Footer"/>
            <w:tabs>
              <w:tab w:val="clear" w:pos="8640"/>
              <w:tab w:val="right" w:pos="9360"/>
            </w:tabs>
            <w:jc w:val="center"/>
          </w:pPr>
        </w:p>
      </w:tc>
    </w:tr>
  </w:tbl>
  <w:p w14:paraId="5A19EAA0" w14:textId="77777777" w:rsidR="0073632E" w:rsidRPr="00FF6F72" w:rsidRDefault="0073632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F686C" w14:textId="77777777" w:rsidR="0073632E" w:rsidRDefault="00736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DD7BF" w14:textId="77777777" w:rsidR="00000000" w:rsidRDefault="005E0A77">
      <w:r>
        <w:separator/>
      </w:r>
    </w:p>
  </w:footnote>
  <w:footnote w:type="continuationSeparator" w:id="0">
    <w:p w14:paraId="66F44270" w14:textId="77777777" w:rsidR="00000000" w:rsidRDefault="005E0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BB548" w14:textId="77777777" w:rsidR="0073632E" w:rsidRDefault="00736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486C9" w14:textId="77777777" w:rsidR="0073632E" w:rsidRDefault="00736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7DC76" w14:textId="77777777" w:rsidR="0073632E" w:rsidRDefault="00736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906"/>
    <w:multiLevelType w:val="hybridMultilevel"/>
    <w:tmpl w:val="A30A2254"/>
    <w:lvl w:ilvl="0" w:tplc="B4AE15E8">
      <w:start w:val="1"/>
      <w:numFmt w:val="bullet"/>
      <w:lvlText w:val=""/>
      <w:lvlJc w:val="left"/>
      <w:pPr>
        <w:tabs>
          <w:tab w:val="num" w:pos="720"/>
        </w:tabs>
        <w:ind w:left="720" w:hanging="360"/>
      </w:pPr>
      <w:rPr>
        <w:rFonts w:ascii="Symbol" w:hAnsi="Symbol" w:hint="default"/>
      </w:rPr>
    </w:lvl>
    <w:lvl w:ilvl="1" w:tplc="DDF6CEC0" w:tentative="1">
      <w:start w:val="1"/>
      <w:numFmt w:val="bullet"/>
      <w:lvlText w:val="o"/>
      <w:lvlJc w:val="left"/>
      <w:pPr>
        <w:ind w:left="1440" w:hanging="360"/>
      </w:pPr>
      <w:rPr>
        <w:rFonts w:ascii="Courier New" w:hAnsi="Courier New" w:cs="Courier New" w:hint="default"/>
      </w:rPr>
    </w:lvl>
    <w:lvl w:ilvl="2" w:tplc="56F2DF1C" w:tentative="1">
      <w:start w:val="1"/>
      <w:numFmt w:val="bullet"/>
      <w:lvlText w:val=""/>
      <w:lvlJc w:val="left"/>
      <w:pPr>
        <w:ind w:left="2160" w:hanging="360"/>
      </w:pPr>
      <w:rPr>
        <w:rFonts w:ascii="Wingdings" w:hAnsi="Wingdings" w:hint="default"/>
      </w:rPr>
    </w:lvl>
    <w:lvl w:ilvl="3" w:tplc="B266766C" w:tentative="1">
      <w:start w:val="1"/>
      <w:numFmt w:val="bullet"/>
      <w:lvlText w:val=""/>
      <w:lvlJc w:val="left"/>
      <w:pPr>
        <w:ind w:left="2880" w:hanging="360"/>
      </w:pPr>
      <w:rPr>
        <w:rFonts w:ascii="Symbol" w:hAnsi="Symbol" w:hint="default"/>
      </w:rPr>
    </w:lvl>
    <w:lvl w:ilvl="4" w:tplc="AFC6EE38" w:tentative="1">
      <w:start w:val="1"/>
      <w:numFmt w:val="bullet"/>
      <w:lvlText w:val="o"/>
      <w:lvlJc w:val="left"/>
      <w:pPr>
        <w:ind w:left="3600" w:hanging="360"/>
      </w:pPr>
      <w:rPr>
        <w:rFonts w:ascii="Courier New" w:hAnsi="Courier New" w:cs="Courier New" w:hint="default"/>
      </w:rPr>
    </w:lvl>
    <w:lvl w:ilvl="5" w:tplc="6C3E157E" w:tentative="1">
      <w:start w:val="1"/>
      <w:numFmt w:val="bullet"/>
      <w:lvlText w:val=""/>
      <w:lvlJc w:val="left"/>
      <w:pPr>
        <w:ind w:left="4320" w:hanging="360"/>
      </w:pPr>
      <w:rPr>
        <w:rFonts w:ascii="Wingdings" w:hAnsi="Wingdings" w:hint="default"/>
      </w:rPr>
    </w:lvl>
    <w:lvl w:ilvl="6" w:tplc="08F2912E" w:tentative="1">
      <w:start w:val="1"/>
      <w:numFmt w:val="bullet"/>
      <w:lvlText w:val=""/>
      <w:lvlJc w:val="left"/>
      <w:pPr>
        <w:ind w:left="5040" w:hanging="360"/>
      </w:pPr>
      <w:rPr>
        <w:rFonts w:ascii="Symbol" w:hAnsi="Symbol" w:hint="default"/>
      </w:rPr>
    </w:lvl>
    <w:lvl w:ilvl="7" w:tplc="371CB1EE" w:tentative="1">
      <w:start w:val="1"/>
      <w:numFmt w:val="bullet"/>
      <w:lvlText w:val="o"/>
      <w:lvlJc w:val="left"/>
      <w:pPr>
        <w:ind w:left="5760" w:hanging="360"/>
      </w:pPr>
      <w:rPr>
        <w:rFonts w:ascii="Courier New" w:hAnsi="Courier New" w:cs="Courier New" w:hint="default"/>
      </w:rPr>
    </w:lvl>
    <w:lvl w:ilvl="8" w:tplc="AF247176" w:tentative="1">
      <w:start w:val="1"/>
      <w:numFmt w:val="bullet"/>
      <w:lvlText w:val=""/>
      <w:lvlJc w:val="left"/>
      <w:pPr>
        <w:ind w:left="6480" w:hanging="360"/>
      </w:pPr>
      <w:rPr>
        <w:rFonts w:ascii="Wingdings" w:hAnsi="Wingdings" w:hint="default"/>
      </w:rPr>
    </w:lvl>
  </w:abstractNum>
  <w:abstractNum w:abstractNumId="1" w15:restartNumberingAfterBreak="0">
    <w:nsid w:val="191B5CD0"/>
    <w:multiLevelType w:val="hybridMultilevel"/>
    <w:tmpl w:val="B114EE88"/>
    <w:lvl w:ilvl="0" w:tplc="37C28528">
      <w:start w:val="1"/>
      <w:numFmt w:val="bullet"/>
      <w:lvlText w:val=""/>
      <w:lvlJc w:val="left"/>
      <w:pPr>
        <w:tabs>
          <w:tab w:val="num" w:pos="720"/>
        </w:tabs>
        <w:ind w:left="720" w:hanging="360"/>
      </w:pPr>
      <w:rPr>
        <w:rFonts w:ascii="Symbol" w:hAnsi="Symbol" w:hint="default"/>
      </w:rPr>
    </w:lvl>
    <w:lvl w:ilvl="1" w:tplc="CE52DA10">
      <w:start w:val="1"/>
      <w:numFmt w:val="bullet"/>
      <w:lvlText w:val="o"/>
      <w:lvlJc w:val="left"/>
      <w:pPr>
        <w:ind w:left="1440" w:hanging="360"/>
      </w:pPr>
      <w:rPr>
        <w:rFonts w:ascii="Courier New" w:hAnsi="Courier New" w:cs="Courier New" w:hint="default"/>
      </w:rPr>
    </w:lvl>
    <w:lvl w:ilvl="2" w:tplc="35CC26EA">
      <w:start w:val="1"/>
      <w:numFmt w:val="bullet"/>
      <w:lvlText w:val=""/>
      <w:lvlJc w:val="left"/>
      <w:pPr>
        <w:ind w:left="2160" w:hanging="360"/>
      </w:pPr>
      <w:rPr>
        <w:rFonts w:ascii="Wingdings" w:hAnsi="Wingdings" w:hint="default"/>
      </w:rPr>
    </w:lvl>
    <w:lvl w:ilvl="3" w:tplc="3C46A5B4" w:tentative="1">
      <w:start w:val="1"/>
      <w:numFmt w:val="bullet"/>
      <w:lvlText w:val=""/>
      <w:lvlJc w:val="left"/>
      <w:pPr>
        <w:ind w:left="2880" w:hanging="360"/>
      </w:pPr>
      <w:rPr>
        <w:rFonts w:ascii="Symbol" w:hAnsi="Symbol" w:hint="default"/>
      </w:rPr>
    </w:lvl>
    <w:lvl w:ilvl="4" w:tplc="6A7EBF14" w:tentative="1">
      <w:start w:val="1"/>
      <w:numFmt w:val="bullet"/>
      <w:lvlText w:val="o"/>
      <w:lvlJc w:val="left"/>
      <w:pPr>
        <w:ind w:left="3600" w:hanging="360"/>
      </w:pPr>
      <w:rPr>
        <w:rFonts w:ascii="Courier New" w:hAnsi="Courier New" w:cs="Courier New" w:hint="default"/>
      </w:rPr>
    </w:lvl>
    <w:lvl w:ilvl="5" w:tplc="0D3AB6C0" w:tentative="1">
      <w:start w:val="1"/>
      <w:numFmt w:val="bullet"/>
      <w:lvlText w:val=""/>
      <w:lvlJc w:val="left"/>
      <w:pPr>
        <w:ind w:left="4320" w:hanging="360"/>
      </w:pPr>
      <w:rPr>
        <w:rFonts w:ascii="Wingdings" w:hAnsi="Wingdings" w:hint="default"/>
      </w:rPr>
    </w:lvl>
    <w:lvl w:ilvl="6" w:tplc="569CF11E" w:tentative="1">
      <w:start w:val="1"/>
      <w:numFmt w:val="bullet"/>
      <w:lvlText w:val=""/>
      <w:lvlJc w:val="left"/>
      <w:pPr>
        <w:ind w:left="5040" w:hanging="360"/>
      </w:pPr>
      <w:rPr>
        <w:rFonts w:ascii="Symbol" w:hAnsi="Symbol" w:hint="default"/>
      </w:rPr>
    </w:lvl>
    <w:lvl w:ilvl="7" w:tplc="CAE68C1A" w:tentative="1">
      <w:start w:val="1"/>
      <w:numFmt w:val="bullet"/>
      <w:lvlText w:val="o"/>
      <w:lvlJc w:val="left"/>
      <w:pPr>
        <w:ind w:left="5760" w:hanging="360"/>
      </w:pPr>
      <w:rPr>
        <w:rFonts w:ascii="Courier New" w:hAnsi="Courier New" w:cs="Courier New" w:hint="default"/>
      </w:rPr>
    </w:lvl>
    <w:lvl w:ilvl="8" w:tplc="36B04C0E" w:tentative="1">
      <w:start w:val="1"/>
      <w:numFmt w:val="bullet"/>
      <w:lvlText w:val=""/>
      <w:lvlJc w:val="left"/>
      <w:pPr>
        <w:ind w:left="6480" w:hanging="360"/>
      </w:pPr>
      <w:rPr>
        <w:rFonts w:ascii="Wingdings" w:hAnsi="Wingdings" w:hint="default"/>
      </w:rPr>
    </w:lvl>
  </w:abstractNum>
  <w:abstractNum w:abstractNumId="2" w15:restartNumberingAfterBreak="0">
    <w:nsid w:val="35E3055B"/>
    <w:multiLevelType w:val="hybridMultilevel"/>
    <w:tmpl w:val="3E1E8A46"/>
    <w:lvl w:ilvl="0" w:tplc="7C30D836">
      <w:start w:val="1"/>
      <w:numFmt w:val="bullet"/>
      <w:lvlText w:val=""/>
      <w:lvlJc w:val="left"/>
      <w:pPr>
        <w:tabs>
          <w:tab w:val="num" w:pos="720"/>
        </w:tabs>
        <w:ind w:left="720" w:hanging="360"/>
      </w:pPr>
      <w:rPr>
        <w:rFonts w:ascii="Symbol" w:hAnsi="Symbol" w:hint="default"/>
      </w:rPr>
    </w:lvl>
    <w:lvl w:ilvl="1" w:tplc="14264C58" w:tentative="1">
      <w:start w:val="1"/>
      <w:numFmt w:val="bullet"/>
      <w:lvlText w:val="o"/>
      <w:lvlJc w:val="left"/>
      <w:pPr>
        <w:ind w:left="1440" w:hanging="360"/>
      </w:pPr>
      <w:rPr>
        <w:rFonts w:ascii="Courier New" w:hAnsi="Courier New" w:cs="Courier New" w:hint="default"/>
      </w:rPr>
    </w:lvl>
    <w:lvl w:ilvl="2" w:tplc="4E1AC39E" w:tentative="1">
      <w:start w:val="1"/>
      <w:numFmt w:val="bullet"/>
      <w:lvlText w:val=""/>
      <w:lvlJc w:val="left"/>
      <w:pPr>
        <w:ind w:left="2160" w:hanging="360"/>
      </w:pPr>
      <w:rPr>
        <w:rFonts w:ascii="Wingdings" w:hAnsi="Wingdings" w:hint="default"/>
      </w:rPr>
    </w:lvl>
    <w:lvl w:ilvl="3" w:tplc="2DF8EDB4" w:tentative="1">
      <w:start w:val="1"/>
      <w:numFmt w:val="bullet"/>
      <w:lvlText w:val=""/>
      <w:lvlJc w:val="left"/>
      <w:pPr>
        <w:ind w:left="2880" w:hanging="360"/>
      </w:pPr>
      <w:rPr>
        <w:rFonts w:ascii="Symbol" w:hAnsi="Symbol" w:hint="default"/>
      </w:rPr>
    </w:lvl>
    <w:lvl w:ilvl="4" w:tplc="9C8E8DF8" w:tentative="1">
      <w:start w:val="1"/>
      <w:numFmt w:val="bullet"/>
      <w:lvlText w:val="o"/>
      <w:lvlJc w:val="left"/>
      <w:pPr>
        <w:ind w:left="3600" w:hanging="360"/>
      </w:pPr>
      <w:rPr>
        <w:rFonts w:ascii="Courier New" w:hAnsi="Courier New" w:cs="Courier New" w:hint="default"/>
      </w:rPr>
    </w:lvl>
    <w:lvl w:ilvl="5" w:tplc="FAD8B660" w:tentative="1">
      <w:start w:val="1"/>
      <w:numFmt w:val="bullet"/>
      <w:lvlText w:val=""/>
      <w:lvlJc w:val="left"/>
      <w:pPr>
        <w:ind w:left="4320" w:hanging="360"/>
      </w:pPr>
      <w:rPr>
        <w:rFonts w:ascii="Wingdings" w:hAnsi="Wingdings" w:hint="default"/>
      </w:rPr>
    </w:lvl>
    <w:lvl w:ilvl="6" w:tplc="EEC0EA00" w:tentative="1">
      <w:start w:val="1"/>
      <w:numFmt w:val="bullet"/>
      <w:lvlText w:val=""/>
      <w:lvlJc w:val="left"/>
      <w:pPr>
        <w:ind w:left="5040" w:hanging="360"/>
      </w:pPr>
      <w:rPr>
        <w:rFonts w:ascii="Symbol" w:hAnsi="Symbol" w:hint="default"/>
      </w:rPr>
    </w:lvl>
    <w:lvl w:ilvl="7" w:tplc="C09C96D4" w:tentative="1">
      <w:start w:val="1"/>
      <w:numFmt w:val="bullet"/>
      <w:lvlText w:val="o"/>
      <w:lvlJc w:val="left"/>
      <w:pPr>
        <w:ind w:left="5760" w:hanging="360"/>
      </w:pPr>
      <w:rPr>
        <w:rFonts w:ascii="Courier New" w:hAnsi="Courier New" w:cs="Courier New" w:hint="default"/>
      </w:rPr>
    </w:lvl>
    <w:lvl w:ilvl="8" w:tplc="E1229866" w:tentative="1">
      <w:start w:val="1"/>
      <w:numFmt w:val="bullet"/>
      <w:lvlText w:val=""/>
      <w:lvlJc w:val="left"/>
      <w:pPr>
        <w:ind w:left="6480" w:hanging="360"/>
      </w:pPr>
      <w:rPr>
        <w:rFonts w:ascii="Wingdings" w:hAnsi="Wingdings" w:hint="default"/>
      </w:rPr>
    </w:lvl>
  </w:abstractNum>
  <w:abstractNum w:abstractNumId="3" w15:restartNumberingAfterBreak="0">
    <w:nsid w:val="43276986"/>
    <w:multiLevelType w:val="hybridMultilevel"/>
    <w:tmpl w:val="2BE66D6C"/>
    <w:lvl w:ilvl="0" w:tplc="249CD2D2">
      <w:start w:val="1"/>
      <w:numFmt w:val="bullet"/>
      <w:lvlText w:val=""/>
      <w:lvlJc w:val="left"/>
      <w:pPr>
        <w:tabs>
          <w:tab w:val="num" w:pos="720"/>
        </w:tabs>
        <w:ind w:left="720" w:hanging="360"/>
      </w:pPr>
      <w:rPr>
        <w:rFonts w:ascii="Symbol" w:hAnsi="Symbol" w:hint="default"/>
      </w:rPr>
    </w:lvl>
    <w:lvl w:ilvl="1" w:tplc="83FCC22C" w:tentative="1">
      <w:start w:val="1"/>
      <w:numFmt w:val="bullet"/>
      <w:lvlText w:val="o"/>
      <w:lvlJc w:val="left"/>
      <w:pPr>
        <w:ind w:left="1440" w:hanging="360"/>
      </w:pPr>
      <w:rPr>
        <w:rFonts w:ascii="Courier New" w:hAnsi="Courier New" w:cs="Courier New" w:hint="default"/>
      </w:rPr>
    </w:lvl>
    <w:lvl w:ilvl="2" w:tplc="A16ADA30" w:tentative="1">
      <w:start w:val="1"/>
      <w:numFmt w:val="bullet"/>
      <w:lvlText w:val=""/>
      <w:lvlJc w:val="left"/>
      <w:pPr>
        <w:ind w:left="2160" w:hanging="360"/>
      </w:pPr>
      <w:rPr>
        <w:rFonts w:ascii="Wingdings" w:hAnsi="Wingdings" w:hint="default"/>
      </w:rPr>
    </w:lvl>
    <w:lvl w:ilvl="3" w:tplc="0FA8ECAC" w:tentative="1">
      <w:start w:val="1"/>
      <w:numFmt w:val="bullet"/>
      <w:lvlText w:val=""/>
      <w:lvlJc w:val="left"/>
      <w:pPr>
        <w:ind w:left="2880" w:hanging="360"/>
      </w:pPr>
      <w:rPr>
        <w:rFonts w:ascii="Symbol" w:hAnsi="Symbol" w:hint="default"/>
      </w:rPr>
    </w:lvl>
    <w:lvl w:ilvl="4" w:tplc="07D48C8A" w:tentative="1">
      <w:start w:val="1"/>
      <w:numFmt w:val="bullet"/>
      <w:lvlText w:val="o"/>
      <w:lvlJc w:val="left"/>
      <w:pPr>
        <w:ind w:left="3600" w:hanging="360"/>
      </w:pPr>
      <w:rPr>
        <w:rFonts w:ascii="Courier New" w:hAnsi="Courier New" w:cs="Courier New" w:hint="default"/>
      </w:rPr>
    </w:lvl>
    <w:lvl w:ilvl="5" w:tplc="128A9410" w:tentative="1">
      <w:start w:val="1"/>
      <w:numFmt w:val="bullet"/>
      <w:lvlText w:val=""/>
      <w:lvlJc w:val="left"/>
      <w:pPr>
        <w:ind w:left="4320" w:hanging="360"/>
      </w:pPr>
      <w:rPr>
        <w:rFonts w:ascii="Wingdings" w:hAnsi="Wingdings" w:hint="default"/>
      </w:rPr>
    </w:lvl>
    <w:lvl w:ilvl="6" w:tplc="D4FE9400" w:tentative="1">
      <w:start w:val="1"/>
      <w:numFmt w:val="bullet"/>
      <w:lvlText w:val=""/>
      <w:lvlJc w:val="left"/>
      <w:pPr>
        <w:ind w:left="5040" w:hanging="360"/>
      </w:pPr>
      <w:rPr>
        <w:rFonts w:ascii="Symbol" w:hAnsi="Symbol" w:hint="default"/>
      </w:rPr>
    </w:lvl>
    <w:lvl w:ilvl="7" w:tplc="4BDCB942" w:tentative="1">
      <w:start w:val="1"/>
      <w:numFmt w:val="bullet"/>
      <w:lvlText w:val="o"/>
      <w:lvlJc w:val="left"/>
      <w:pPr>
        <w:ind w:left="5760" w:hanging="360"/>
      </w:pPr>
      <w:rPr>
        <w:rFonts w:ascii="Courier New" w:hAnsi="Courier New" w:cs="Courier New" w:hint="default"/>
      </w:rPr>
    </w:lvl>
    <w:lvl w:ilvl="8" w:tplc="9A66DD06" w:tentative="1">
      <w:start w:val="1"/>
      <w:numFmt w:val="bullet"/>
      <w:lvlText w:val=""/>
      <w:lvlJc w:val="left"/>
      <w:pPr>
        <w:ind w:left="6480" w:hanging="360"/>
      </w:pPr>
      <w:rPr>
        <w:rFonts w:ascii="Wingdings" w:hAnsi="Wingdings" w:hint="default"/>
      </w:rPr>
    </w:lvl>
  </w:abstractNum>
  <w:abstractNum w:abstractNumId="4" w15:restartNumberingAfterBreak="0">
    <w:nsid w:val="53A52459"/>
    <w:multiLevelType w:val="hybridMultilevel"/>
    <w:tmpl w:val="5080A758"/>
    <w:lvl w:ilvl="0" w:tplc="BAD037DA">
      <w:start w:val="1"/>
      <w:numFmt w:val="bullet"/>
      <w:lvlText w:val=""/>
      <w:lvlJc w:val="left"/>
      <w:pPr>
        <w:tabs>
          <w:tab w:val="num" w:pos="720"/>
        </w:tabs>
        <w:ind w:left="720" w:hanging="360"/>
      </w:pPr>
      <w:rPr>
        <w:rFonts w:ascii="Symbol" w:hAnsi="Symbol" w:hint="default"/>
      </w:rPr>
    </w:lvl>
    <w:lvl w:ilvl="1" w:tplc="1868AC0A" w:tentative="1">
      <w:start w:val="1"/>
      <w:numFmt w:val="bullet"/>
      <w:lvlText w:val="o"/>
      <w:lvlJc w:val="left"/>
      <w:pPr>
        <w:ind w:left="1440" w:hanging="360"/>
      </w:pPr>
      <w:rPr>
        <w:rFonts w:ascii="Courier New" w:hAnsi="Courier New" w:cs="Courier New" w:hint="default"/>
      </w:rPr>
    </w:lvl>
    <w:lvl w:ilvl="2" w:tplc="93A82D68" w:tentative="1">
      <w:start w:val="1"/>
      <w:numFmt w:val="bullet"/>
      <w:lvlText w:val=""/>
      <w:lvlJc w:val="left"/>
      <w:pPr>
        <w:ind w:left="2160" w:hanging="360"/>
      </w:pPr>
      <w:rPr>
        <w:rFonts w:ascii="Wingdings" w:hAnsi="Wingdings" w:hint="default"/>
      </w:rPr>
    </w:lvl>
    <w:lvl w:ilvl="3" w:tplc="6856377E" w:tentative="1">
      <w:start w:val="1"/>
      <w:numFmt w:val="bullet"/>
      <w:lvlText w:val=""/>
      <w:lvlJc w:val="left"/>
      <w:pPr>
        <w:ind w:left="2880" w:hanging="360"/>
      </w:pPr>
      <w:rPr>
        <w:rFonts w:ascii="Symbol" w:hAnsi="Symbol" w:hint="default"/>
      </w:rPr>
    </w:lvl>
    <w:lvl w:ilvl="4" w:tplc="2A6003EE" w:tentative="1">
      <w:start w:val="1"/>
      <w:numFmt w:val="bullet"/>
      <w:lvlText w:val="o"/>
      <w:lvlJc w:val="left"/>
      <w:pPr>
        <w:ind w:left="3600" w:hanging="360"/>
      </w:pPr>
      <w:rPr>
        <w:rFonts w:ascii="Courier New" w:hAnsi="Courier New" w:cs="Courier New" w:hint="default"/>
      </w:rPr>
    </w:lvl>
    <w:lvl w:ilvl="5" w:tplc="1FA8E2FE" w:tentative="1">
      <w:start w:val="1"/>
      <w:numFmt w:val="bullet"/>
      <w:lvlText w:val=""/>
      <w:lvlJc w:val="left"/>
      <w:pPr>
        <w:ind w:left="4320" w:hanging="360"/>
      </w:pPr>
      <w:rPr>
        <w:rFonts w:ascii="Wingdings" w:hAnsi="Wingdings" w:hint="default"/>
      </w:rPr>
    </w:lvl>
    <w:lvl w:ilvl="6" w:tplc="EB48D808" w:tentative="1">
      <w:start w:val="1"/>
      <w:numFmt w:val="bullet"/>
      <w:lvlText w:val=""/>
      <w:lvlJc w:val="left"/>
      <w:pPr>
        <w:ind w:left="5040" w:hanging="360"/>
      </w:pPr>
      <w:rPr>
        <w:rFonts w:ascii="Symbol" w:hAnsi="Symbol" w:hint="default"/>
      </w:rPr>
    </w:lvl>
    <w:lvl w:ilvl="7" w:tplc="50346D0E" w:tentative="1">
      <w:start w:val="1"/>
      <w:numFmt w:val="bullet"/>
      <w:lvlText w:val="o"/>
      <w:lvlJc w:val="left"/>
      <w:pPr>
        <w:ind w:left="5760" w:hanging="360"/>
      </w:pPr>
      <w:rPr>
        <w:rFonts w:ascii="Courier New" w:hAnsi="Courier New" w:cs="Courier New" w:hint="default"/>
      </w:rPr>
    </w:lvl>
    <w:lvl w:ilvl="8" w:tplc="444ECD34" w:tentative="1">
      <w:start w:val="1"/>
      <w:numFmt w:val="bullet"/>
      <w:lvlText w:val=""/>
      <w:lvlJc w:val="left"/>
      <w:pPr>
        <w:ind w:left="6480" w:hanging="360"/>
      </w:pPr>
      <w:rPr>
        <w:rFonts w:ascii="Wingdings" w:hAnsi="Wingdings" w:hint="default"/>
      </w:rPr>
    </w:lvl>
  </w:abstractNum>
  <w:abstractNum w:abstractNumId="5" w15:restartNumberingAfterBreak="0">
    <w:nsid w:val="69F34C72"/>
    <w:multiLevelType w:val="hybridMultilevel"/>
    <w:tmpl w:val="CA440E9C"/>
    <w:lvl w:ilvl="0" w:tplc="CCC2D222">
      <w:start w:val="1"/>
      <w:numFmt w:val="bullet"/>
      <w:lvlText w:val=""/>
      <w:lvlJc w:val="left"/>
      <w:pPr>
        <w:tabs>
          <w:tab w:val="num" w:pos="720"/>
        </w:tabs>
        <w:ind w:left="720" w:hanging="360"/>
      </w:pPr>
      <w:rPr>
        <w:rFonts w:ascii="Symbol" w:hAnsi="Symbol" w:hint="default"/>
      </w:rPr>
    </w:lvl>
    <w:lvl w:ilvl="1" w:tplc="22B25934" w:tentative="1">
      <w:start w:val="1"/>
      <w:numFmt w:val="bullet"/>
      <w:lvlText w:val="o"/>
      <w:lvlJc w:val="left"/>
      <w:pPr>
        <w:ind w:left="1440" w:hanging="360"/>
      </w:pPr>
      <w:rPr>
        <w:rFonts w:ascii="Courier New" w:hAnsi="Courier New" w:cs="Courier New" w:hint="default"/>
      </w:rPr>
    </w:lvl>
    <w:lvl w:ilvl="2" w:tplc="84DC7CF8" w:tentative="1">
      <w:start w:val="1"/>
      <w:numFmt w:val="bullet"/>
      <w:lvlText w:val=""/>
      <w:lvlJc w:val="left"/>
      <w:pPr>
        <w:ind w:left="2160" w:hanging="360"/>
      </w:pPr>
      <w:rPr>
        <w:rFonts w:ascii="Wingdings" w:hAnsi="Wingdings" w:hint="default"/>
      </w:rPr>
    </w:lvl>
    <w:lvl w:ilvl="3" w:tplc="C7F223F0" w:tentative="1">
      <w:start w:val="1"/>
      <w:numFmt w:val="bullet"/>
      <w:lvlText w:val=""/>
      <w:lvlJc w:val="left"/>
      <w:pPr>
        <w:ind w:left="2880" w:hanging="360"/>
      </w:pPr>
      <w:rPr>
        <w:rFonts w:ascii="Symbol" w:hAnsi="Symbol" w:hint="default"/>
      </w:rPr>
    </w:lvl>
    <w:lvl w:ilvl="4" w:tplc="320A1ADC" w:tentative="1">
      <w:start w:val="1"/>
      <w:numFmt w:val="bullet"/>
      <w:lvlText w:val="o"/>
      <w:lvlJc w:val="left"/>
      <w:pPr>
        <w:ind w:left="3600" w:hanging="360"/>
      </w:pPr>
      <w:rPr>
        <w:rFonts w:ascii="Courier New" w:hAnsi="Courier New" w:cs="Courier New" w:hint="default"/>
      </w:rPr>
    </w:lvl>
    <w:lvl w:ilvl="5" w:tplc="CA66209A" w:tentative="1">
      <w:start w:val="1"/>
      <w:numFmt w:val="bullet"/>
      <w:lvlText w:val=""/>
      <w:lvlJc w:val="left"/>
      <w:pPr>
        <w:ind w:left="4320" w:hanging="360"/>
      </w:pPr>
      <w:rPr>
        <w:rFonts w:ascii="Wingdings" w:hAnsi="Wingdings" w:hint="default"/>
      </w:rPr>
    </w:lvl>
    <w:lvl w:ilvl="6" w:tplc="115406C0" w:tentative="1">
      <w:start w:val="1"/>
      <w:numFmt w:val="bullet"/>
      <w:lvlText w:val=""/>
      <w:lvlJc w:val="left"/>
      <w:pPr>
        <w:ind w:left="5040" w:hanging="360"/>
      </w:pPr>
      <w:rPr>
        <w:rFonts w:ascii="Symbol" w:hAnsi="Symbol" w:hint="default"/>
      </w:rPr>
    </w:lvl>
    <w:lvl w:ilvl="7" w:tplc="6DF82D8A" w:tentative="1">
      <w:start w:val="1"/>
      <w:numFmt w:val="bullet"/>
      <w:lvlText w:val="o"/>
      <w:lvlJc w:val="left"/>
      <w:pPr>
        <w:ind w:left="5760" w:hanging="360"/>
      </w:pPr>
      <w:rPr>
        <w:rFonts w:ascii="Courier New" w:hAnsi="Courier New" w:cs="Courier New" w:hint="default"/>
      </w:rPr>
    </w:lvl>
    <w:lvl w:ilvl="8" w:tplc="922AEDD4"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5C"/>
    <w:rsid w:val="00000A70"/>
    <w:rsid w:val="000032B8"/>
    <w:rsid w:val="00003B06"/>
    <w:rsid w:val="000054B9"/>
    <w:rsid w:val="00007461"/>
    <w:rsid w:val="0001117E"/>
    <w:rsid w:val="0001125F"/>
    <w:rsid w:val="0001338E"/>
    <w:rsid w:val="00013D24"/>
    <w:rsid w:val="00014AF0"/>
    <w:rsid w:val="000155D6"/>
    <w:rsid w:val="000159B5"/>
    <w:rsid w:val="00015D4E"/>
    <w:rsid w:val="00020C1E"/>
    <w:rsid w:val="00020E9B"/>
    <w:rsid w:val="000236C1"/>
    <w:rsid w:val="000236EC"/>
    <w:rsid w:val="0002413D"/>
    <w:rsid w:val="000249F2"/>
    <w:rsid w:val="00026468"/>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3B5C"/>
    <w:rsid w:val="00097AAF"/>
    <w:rsid w:val="00097D13"/>
    <w:rsid w:val="000A4893"/>
    <w:rsid w:val="000A54E0"/>
    <w:rsid w:val="000A72C4"/>
    <w:rsid w:val="000B1486"/>
    <w:rsid w:val="000B381D"/>
    <w:rsid w:val="000B3E61"/>
    <w:rsid w:val="000B54AF"/>
    <w:rsid w:val="000B6090"/>
    <w:rsid w:val="000B6FEE"/>
    <w:rsid w:val="000C12C4"/>
    <w:rsid w:val="000C2F6B"/>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7F9"/>
    <w:rsid w:val="000F3DBD"/>
    <w:rsid w:val="000F5843"/>
    <w:rsid w:val="000F6A06"/>
    <w:rsid w:val="0010154D"/>
    <w:rsid w:val="00102D3F"/>
    <w:rsid w:val="00102EC7"/>
    <w:rsid w:val="0010347D"/>
    <w:rsid w:val="00110F8C"/>
    <w:rsid w:val="0011274A"/>
    <w:rsid w:val="00113522"/>
    <w:rsid w:val="0011378D"/>
    <w:rsid w:val="00115EE9"/>
    <w:rsid w:val="001169F9"/>
    <w:rsid w:val="0012010F"/>
    <w:rsid w:val="00120797"/>
    <w:rsid w:val="0012371B"/>
    <w:rsid w:val="001245C8"/>
    <w:rsid w:val="00124653"/>
    <w:rsid w:val="001247C5"/>
    <w:rsid w:val="00127893"/>
    <w:rsid w:val="001312BB"/>
    <w:rsid w:val="0013299A"/>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34F0"/>
    <w:rsid w:val="0017725B"/>
    <w:rsid w:val="0018050C"/>
    <w:rsid w:val="0018117F"/>
    <w:rsid w:val="001824ED"/>
    <w:rsid w:val="00183262"/>
    <w:rsid w:val="001844F6"/>
    <w:rsid w:val="00184B03"/>
    <w:rsid w:val="00185C59"/>
    <w:rsid w:val="00187C1B"/>
    <w:rsid w:val="001908AC"/>
    <w:rsid w:val="00190CFB"/>
    <w:rsid w:val="00194329"/>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1A25"/>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2711"/>
    <w:rsid w:val="00224C37"/>
    <w:rsid w:val="002304DF"/>
    <w:rsid w:val="0023341D"/>
    <w:rsid w:val="002338DA"/>
    <w:rsid w:val="00233D66"/>
    <w:rsid w:val="00233FDB"/>
    <w:rsid w:val="00234F58"/>
    <w:rsid w:val="0023507D"/>
    <w:rsid w:val="0024077A"/>
    <w:rsid w:val="00241EC1"/>
    <w:rsid w:val="00242000"/>
    <w:rsid w:val="002431DA"/>
    <w:rsid w:val="0024691D"/>
    <w:rsid w:val="00247D27"/>
    <w:rsid w:val="00250A50"/>
    <w:rsid w:val="00251ED5"/>
    <w:rsid w:val="00255EB6"/>
    <w:rsid w:val="00257429"/>
    <w:rsid w:val="00260FA4"/>
    <w:rsid w:val="00261183"/>
    <w:rsid w:val="00262A66"/>
    <w:rsid w:val="00263140"/>
    <w:rsid w:val="002631C8"/>
    <w:rsid w:val="00264A8B"/>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43F"/>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16A5"/>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3A24"/>
    <w:rsid w:val="00336BA4"/>
    <w:rsid w:val="00336C7A"/>
    <w:rsid w:val="00337392"/>
    <w:rsid w:val="00337659"/>
    <w:rsid w:val="003427C9"/>
    <w:rsid w:val="00343A92"/>
    <w:rsid w:val="00344530"/>
    <w:rsid w:val="003446DC"/>
    <w:rsid w:val="00347B4A"/>
    <w:rsid w:val="00347CFA"/>
    <w:rsid w:val="003500C3"/>
    <w:rsid w:val="003523BD"/>
    <w:rsid w:val="00352681"/>
    <w:rsid w:val="003536AA"/>
    <w:rsid w:val="003544CE"/>
    <w:rsid w:val="00355A98"/>
    <w:rsid w:val="00355D7E"/>
    <w:rsid w:val="00357CA1"/>
    <w:rsid w:val="00361FE9"/>
    <w:rsid w:val="003624F2"/>
    <w:rsid w:val="00363854"/>
    <w:rsid w:val="00364315"/>
    <w:rsid w:val="003643E2"/>
    <w:rsid w:val="00364A80"/>
    <w:rsid w:val="0036518E"/>
    <w:rsid w:val="00370155"/>
    <w:rsid w:val="00370900"/>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0C97"/>
    <w:rsid w:val="003D726D"/>
    <w:rsid w:val="003E0875"/>
    <w:rsid w:val="003E0BB8"/>
    <w:rsid w:val="003E630F"/>
    <w:rsid w:val="003E6CB0"/>
    <w:rsid w:val="003F1F5E"/>
    <w:rsid w:val="003F286A"/>
    <w:rsid w:val="003F28AD"/>
    <w:rsid w:val="003F77F8"/>
    <w:rsid w:val="00400ACD"/>
    <w:rsid w:val="00403B15"/>
    <w:rsid w:val="00403E8A"/>
    <w:rsid w:val="004101E4"/>
    <w:rsid w:val="00410661"/>
    <w:rsid w:val="004108C3"/>
    <w:rsid w:val="00410B33"/>
    <w:rsid w:val="00411AF0"/>
    <w:rsid w:val="004120CC"/>
    <w:rsid w:val="004122B7"/>
    <w:rsid w:val="00412ED2"/>
    <w:rsid w:val="00412F0F"/>
    <w:rsid w:val="004134CE"/>
    <w:rsid w:val="004136A8"/>
    <w:rsid w:val="00415139"/>
    <w:rsid w:val="004166BB"/>
    <w:rsid w:val="004174CD"/>
    <w:rsid w:val="00420F63"/>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309A"/>
    <w:rsid w:val="004743C1"/>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0BC6"/>
    <w:rsid w:val="005017AC"/>
    <w:rsid w:val="00501E8A"/>
    <w:rsid w:val="00505121"/>
    <w:rsid w:val="00505C04"/>
    <w:rsid w:val="00505F1B"/>
    <w:rsid w:val="005073E8"/>
    <w:rsid w:val="00510503"/>
    <w:rsid w:val="0051324D"/>
    <w:rsid w:val="00515466"/>
    <w:rsid w:val="005154F7"/>
    <w:rsid w:val="005159DE"/>
    <w:rsid w:val="005269CE"/>
    <w:rsid w:val="005304B2"/>
    <w:rsid w:val="00530CC3"/>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0A77"/>
    <w:rsid w:val="005E1999"/>
    <w:rsid w:val="005E232C"/>
    <w:rsid w:val="005E2B83"/>
    <w:rsid w:val="005E4AEB"/>
    <w:rsid w:val="005E52B1"/>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1AA"/>
    <w:rsid w:val="00633262"/>
    <w:rsid w:val="00633460"/>
    <w:rsid w:val="00635C6B"/>
    <w:rsid w:val="006402E7"/>
    <w:rsid w:val="00640CB6"/>
    <w:rsid w:val="00641B42"/>
    <w:rsid w:val="00645750"/>
    <w:rsid w:val="00646547"/>
    <w:rsid w:val="00650692"/>
    <w:rsid w:val="006508D3"/>
    <w:rsid w:val="00650AFA"/>
    <w:rsid w:val="00656D48"/>
    <w:rsid w:val="00662B77"/>
    <w:rsid w:val="00662D0E"/>
    <w:rsid w:val="00663265"/>
    <w:rsid w:val="0066345F"/>
    <w:rsid w:val="006637F9"/>
    <w:rsid w:val="0066485B"/>
    <w:rsid w:val="0067036E"/>
    <w:rsid w:val="00671693"/>
    <w:rsid w:val="0067461A"/>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1E24"/>
    <w:rsid w:val="006D3005"/>
    <w:rsid w:val="006D504F"/>
    <w:rsid w:val="006E0CAC"/>
    <w:rsid w:val="006E1CFB"/>
    <w:rsid w:val="006E1F94"/>
    <w:rsid w:val="006E26C1"/>
    <w:rsid w:val="006E30A8"/>
    <w:rsid w:val="006E45B0"/>
    <w:rsid w:val="006E5692"/>
    <w:rsid w:val="006E56A7"/>
    <w:rsid w:val="006F365D"/>
    <w:rsid w:val="006F4BB0"/>
    <w:rsid w:val="006F58BB"/>
    <w:rsid w:val="007031BD"/>
    <w:rsid w:val="00703E80"/>
    <w:rsid w:val="00705276"/>
    <w:rsid w:val="00705973"/>
    <w:rsid w:val="007066A0"/>
    <w:rsid w:val="007075FB"/>
    <w:rsid w:val="0070787B"/>
    <w:rsid w:val="0071131D"/>
    <w:rsid w:val="00711E3D"/>
    <w:rsid w:val="00711E85"/>
    <w:rsid w:val="00712DDA"/>
    <w:rsid w:val="00717739"/>
    <w:rsid w:val="00717DE4"/>
    <w:rsid w:val="00721724"/>
    <w:rsid w:val="00722EC5"/>
    <w:rsid w:val="00723326"/>
    <w:rsid w:val="00724252"/>
    <w:rsid w:val="00727BFF"/>
    <w:rsid w:val="00727E7A"/>
    <w:rsid w:val="0073163C"/>
    <w:rsid w:val="00731DE3"/>
    <w:rsid w:val="00735B9D"/>
    <w:rsid w:val="0073632E"/>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30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17DA0"/>
    <w:rsid w:val="00823E4C"/>
    <w:rsid w:val="008268D4"/>
    <w:rsid w:val="008269DA"/>
    <w:rsid w:val="00827749"/>
    <w:rsid w:val="00827B7E"/>
    <w:rsid w:val="00830AB4"/>
    <w:rsid w:val="00830EEB"/>
    <w:rsid w:val="008347A9"/>
    <w:rsid w:val="00835628"/>
    <w:rsid w:val="00835E90"/>
    <w:rsid w:val="00840347"/>
    <w:rsid w:val="00841436"/>
    <w:rsid w:val="0084176D"/>
    <w:rsid w:val="008423E4"/>
    <w:rsid w:val="00842900"/>
    <w:rsid w:val="00850CF0"/>
    <w:rsid w:val="00851869"/>
    <w:rsid w:val="00851C04"/>
    <w:rsid w:val="008531A1"/>
    <w:rsid w:val="00853A94"/>
    <w:rsid w:val="008547A3"/>
    <w:rsid w:val="0085797D"/>
    <w:rsid w:val="00860020"/>
    <w:rsid w:val="00860D57"/>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3AB5"/>
    <w:rsid w:val="008845BA"/>
    <w:rsid w:val="00885203"/>
    <w:rsid w:val="008859CA"/>
    <w:rsid w:val="008861EE"/>
    <w:rsid w:val="00890B59"/>
    <w:rsid w:val="008930D7"/>
    <w:rsid w:val="008947A7"/>
    <w:rsid w:val="00897E80"/>
    <w:rsid w:val="008A01B0"/>
    <w:rsid w:val="008A04FA"/>
    <w:rsid w:val="008A24AB"/>
    <w:rsid w:val="008A27E7"/>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18EC"/>
    <w:rsid w:val="00902212"/>
    <w:rsid w:val="00903E0A"/>
    <w:rsid w:val="00904721"/>
    <w:rsid w:val="00907780"/>
    <w:rsid w:val="00907EDD"/>
    <w:rsid w:val="009107AD"/>
    <w:rsid w:val="00913479"/>
    <w:rsid w:val="00915568"/>
    <w:rsid w:val="00917E0C"/>
    <w:rsid w:val="00920711"/>
    <w:rsid w:val="00921A1E"/>
    <w:rsid w:val="00924EA9"/>
    <w:rsid w:val="00925CE1"/>
    <w:rsid w:val="00925F5C"/>
    <w:rsid w:val="00930897"/>
    <w:rsid w:val="009320D2"/>
    <w:rsid w:val="00932B4D"/>
    <w:rsid w:val="00932C77"/>
    <w:rsid w:val="0093417F"/>
    <w:rsid w:val="00934AC2"/>
    <w:rsid w:val="009367C0"/>
    <w:rsid w:val="009375BB"/>
    <w:rsid w:val="009418E9"/>
    <w:rsid w:val="00946044"/>
    <w:rsid w:val="009465AB"/>
    <w:rsid w:val="00946DEE"/>
    <w:rsid w:val="00953499"/>
    <w:rsid w:val="00954A16"/>
    <w:rsid w:val="0095696D"/>
    <w:rsid w:val="00956B19"/>
    <w:rsid w:val="0096482F"/>
    <w:rsid w:val="00964E3A"/>
    <w:rsid w:val="00966C28"/>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B18"/>
    <w:rsid w:val="00987F00"/>
    <w:rsid w:val="0099403D"/>
    <w:rsid w:val="00995B0B"/>
    <w:rsid w:val="009A08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30D5"/>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1A05"/>
    <w:rsid w:val="00A12330"/>
    <w:rsid w:val="00A1259F"/>
    <w:rsid w:val="00A1446F"/>
    <w:rsid w:val="00A151B5"/>
    <w:rsid w:val="00A220FF"/>
    <w:rsid w:val="00A2228E"/>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0552"/>
    <w:rsid w:val="00AE2263"/>
    <w:rsid w:val="00AE248E"/>
    <w:rsid w:val="00AE2D12"/>
    <w:rsid w:val="00AE2F06"/>
    <w:rsid w:val="00AE4F1C"/>
    <w:rsid w:val="00AF1433"/>
    <w:rsid w:val="00AF430C"/>
    <w:rsid w:val="00AF48B4"/>
    <w:rsid w:val="00AF4923"/>
    <w:rsid w:val="00AF7C74"/>
    <w:rsid w:val="00B000AF"/>
    <w:rsid w:val="00B04E79"/>
    <w:rsid w:val="00B07488"/>
    <w:rsid w:val="00B075A2"/>
    <w:rsid w:val="00B076E0"/>
    <w:rsid w:val="00B10DD2"/>
    <w:rsid w:val="00B115DC"/>
    <w:rsid w:val="00B11952"/>
    <w:rsid w:val="00B12957"/>
    <w:rsid w:val="00B14BD2"/>
    <w:rsid w:val="00B1557F"/>
    <w:rsid w:val="00B1668D"/>
    <w:rsid w:val="00B17981"/>
    <w:rsid w:val="00B20814"/>
    <w:rsid w:val="00B233BB"/>
    <w:rsid w:val="00B25612"/>
    <w:rsid w:val="00B26437"/>
    <w:rsid w:val="00B2678E"/>
    <w:rsid w:val="00B3058D"/>
    <w:rsid w:val="00B30647"/>
    <w:rsid w:val="00B31F0E"/>
    <w:rsid w:val="00B34F25"/>
    <w:rsid w:val="00B43672"/>
    <w:rsid w:val="00B473D8"/>
    <w:rsid w:val="00B5165A"/>
    <w:rsid w:val="00B524C1"/>
    <w:rsid w:val="00B52C8D"/>
    <w:rsid w:val="00B564BF"/>
    <w:rsid w:val="00B6104E"/>
    <w:rsid w:val="00B610C7"/>
    <w:rsid w:val="00B62106"/>
    <w:rsid w:val="00B626A8"/>
    <w:rsid w:val="00B63C7F"/>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C6529"/>
    <w:rsid w:val="00BC6C3A"/>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4423"/>
    <w:rsid w:val="00C57933"/>
    <w:rsid w:val="00C60206"/>
    <w:rsid w:val="00C615D4"/>
    <w:rsid w:val="00C61B5D"/>
    <w:rsid w:val="00C61C0E"/>
    <w:rsid w:val="00C61C64"/>
    <w:rsid w:val="00C61CDA"/>
    <w:rsid w:val="00C66DE1"/>
    <w:rsid w:val="00C71E6A"/>
    <w:rsid w:val="00C72956"/>
    <w:rsid w:val="00C73045"/>
    <w:rsid w:val="00C73212"/>
    <w:rsid w:val="00C7354A"/>
    <w:rsid w:val="00C74379"/>
    <w:rsid w:val="00C74DD8"/>
    <w:rsid w:val="00C75C5E"/>
    <w:rsid w:val="00C7669F"/>
    <w:rsid w:val="00C76DFF"/>
    <w:rsid w:val="00C80B8F"/>
    <w:rsid w:val="00C82743"/>
    <w:rsid w:val="00C834CE"/>
    <w:rsid w:val="00C85334"/>
    <w:rsid w:val="00C9047F"/>
    <w:rsid w:val="00C91F65"/>
    <w:rsid w:val="00C92310"/>
    <w:rsid w:val="00C92521"/>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3E43"/>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5982"/>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6E3B"/>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1193"/>
    <w:rsid w:val="00E621F5"/>
    <w:rsid w:val="00E625DA"/>
    <w:rsid w:val="00E634DC"/>
    <w:rsid w:val="00E667F3"/>
    <w:rsid w:val="00E67794"/>
    <w:rsid w:val="00E70CC6"/>
    <w:rsid w:val="00E71254"/>
    <w:rsid w:val="00E73345"/>
    <w:rsid w:val="00E73CCD"/>
    <w:rsid w:val="00E76453"/>
    <w:rsid w:val="00E77353"/>
    <w:rsid w:val="00E775AE"/>
    <w:rsid w:val="00E8272C"/>
    <w:rsid w:val="00E827C7"/>
    <w:rsid w:val="00E8517E"/>
    <w:rsid w:val="00E85DBD"/>
    <w:rsid w:val="00E87A99"/>
    <w:rsid w:val="00E90702"/>
    <w:rsid w:val="00E9241E"/>
    <w:rsid w:val="00E93DEF"/>
    <w:rsid w:val="00E947B1"/>
    <w:rsid w:val="00E96852"/>
    <w:rsid w:val="00EA16AC"/>
    <w:rsid w:val="00EA385A"/>
    <w:rsid w:val="00EA3931"/>
    <w:rsid w:val="00EA3CEB"/>
    <w:rsid w:val="00EA658E"/>
    <w:rsid w:val="00EA7A88"/>
    <w:rsid w:val="00EB1636"/>
    <w:rsid w:val="00EB27F2"/>
    <w:rsid w:val="00EB3928"/>
    <w:rsid w:val="00EB5373"/>
    <w:rsid w:val="00EC02A2"/>
    <w:rsid w:val="00EC11FF"/>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703"/>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0EBE"/>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C46"/>
    <w:rsid w:val="00FA5D8C"/>
    <w:rsid w:val="00FA6403"/>
    <w:rsid w:val="00FB16CD"/>
    <w:rsid w:val="00FB73AE"/>
    <w:rsid w:val="00FC4F1C"/>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1210AD-ACC4-417D-94C8-8304709F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93B5C"/>
    <w:rPr>
      <w:sz w:val="16"/>
      <w:szCs w:val="16"/>
    </w:rPr>
  </w:style>
  <w:style w:type="paragraph" w:styleId="CommentText">
    <w:name w:val="annotation text"/>
    <w:basedOn w:val="Normal"/>
    <w:link w:val="CommentTextChar"/>
    <w:semiHidden/>
    <w:unhideWhenUsed/>
    <w:rsid w:val="00093B5C"/>
    <w:rPr>
      <w:sz w:val="20"/>
      <w:szCs w:val="20"/>
    </w:rPr>
  </w:style>
  <w:style w:type="character" w:customStyle="1" w:styleId="CommentTextChar">
    <w:name w:val="Comment Text Char"/>
    <w:basedOn w:val="DefaultParagraphFont"/>
    <w:link w:val="CommentText"/>
    <w:semiHidden/>
    <w:rsid w:val="00093B5C"/>
  </w:style>
  <w:style w:type="paragraph" w:styleId="Revision">
    <w:name w:val="Revision"/>
    <w:hidden/>
    <w:uiPriority w:val="99"/>
    <w:semiHidden/>
    <w:rsid w:val="001844F6"/>
    <w:rPr>
      <w:sz w:val="24"/>
      <w:szCs w:val="24"/>
    </w:rPr>
  </w:style>
  <w:style w:type="paragraph" w:styleId="CommentSubject">
    <w:name w:val="annotation subject"/>
    <w:basedOn w:val="CommentText"/>
    <w:next w:val="CommentText"/>
    <w:link w:val="CommentSubjectChar"/>
    <w:semiHidden/>
    <w:unhideWhenUsed/>
    <w:rsid w:val="00E621F5"/>
    <w:rPr>
      <w:b/>
      <w:bCs/>
    </w:rPr>
  </w:style>
  <w:style w:type="character" w:customStyle="1" w:styleId="CommentSubjectChar">
    <w:name w:val="Comment Subject Char"/>
    <w:basedOn w:val="CommentTextChar"/>
    <w:link w:val="CommentSubject"/>
    <w:semiHidden/>
    <w:rsid w:val="00E621F5"/>
    <w:rPr>
      <w:b/>
      <w:bCs/>
    </w:rPr>
  </w:style>
  <w:style w:type="paragraph" w:styleId="ListParagraph">
    <w:name w:val="List Paragraph"/>
    <w:basedOn w:val="Normal"/>
    <w:uiPriority w:val="34"/>
    <w:qFormat/>
    <w:rsid w:val="00E61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1921</Words>
  <Characters>10525</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BA - HB03898 (Committee Report (Substituted))</vt:lpstr>
    </vt:vector>
  </TitlesOfParts>
  <Company>State of Texas</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23241</dc:subject>
  <dc:creator>State of Texas</dc:creator>
  <dc:description>HB 3898 by Anchia-(H)Pensions, Investments &amp; Financial Services (Substitute Document Number: 87R 18559)</dc:description>
  <cp:lastModifiedBy>Stacey Nicchio</cp:lastModifiedBy>
  <cp:revision>2</cp:revision>
  <cp:lastPrinted>2003-11-26T17:21:00Z</cp:lastPrinted>
  <dcterms:created xsi:type="dcterms:W3CDTF">2021-04-30T15:24:00Z</dcterms:created>
  <dcterms:modified xsi:type="dcterms:W3CDTF">2021-04-30T15:24:00Z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21.117.1776</vt:lpwstr>
  </property>
</Properties>
</file>