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602CA" w14:paraId="5EF67092" w14:textId="77777777" w:rsidTr="00345119">
        <w:tc>
          <w:tcPr>
            <w:tcW w:w="9576" w:type="dxa"/>
            <w:noWrap/>
          </w:tcPr>
          <w:p w14:paraId="65468F5B" w14:textId="77777777" w:rsidR="008423E4" w:rsidRPr="0022177D" w:rsidRDefault="008D48B8" w:rsidP="009D4C85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F497B10" w14:textId="77777777" w:rsidR="008423E4" w:rsidRPr="0022177D" w:rsidRDefault="008423E4" w:rsidP="009D4C85">
      <w:pPr>
        <w:jc w:val="center"/>
      </w:pPr>
    </w:p>
    <w:p w14:paraId="3102EF7A" w14:textId="77777777" w:rsidR="008423E4" w:rsidRPr="00B31F0E" w:rsidRDefault="008423E4" w:rsidP="009D4C85"/>
    <w:p w14:paraId="58A9ECEB" w14:textId="77777777" w:rsidR="008423E4" w:rsidRPr="00742794" w:rsidRDefault="008423E4" w:rsidP="009D4C8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602CA" w14:paraId="419ACF18" w14:textId="77777777" w:rsidTr="00345119">
        <w:tc>
          <w:tcPr>
            <w:tcW w:w="9576" w:type="dxa"/>
          </w:tcPr>
          <w:p w14:paraId="09F2C5CC" w14:textId="77777777" w:rsidR="008423E4" w:rsidRPr="00861995" w:rsidRDefault="008D48B8" w:rsidP="009D4C85">
            <w:pPr>
              <w:jc w:val="right"/>
            </w:pPr>
            <w:r>
              <w:t>H.B. 3906</w:t>
            </w:r>
          </w:p>
        </w:tc>
      </w:tr>
      <w:tr w:rsidR="009602CA" w14:paraId="1D3C6995" w14:textId="77777777" w:rsidTr="00345119">
        <w:tc>
          <w:tcPr>
            <w:tcW w:w="9576" w:type="dxa"/>
          </w:tcPr>
          <w:p w14:paraId="6B079718" w14:textId="77777777" w:rsidR="008423E4" w:rsidRPr="00861995" w:rsidRDefault="008D48B8" w:rsidP="009D4C85">
            <w:pPr>
              <w:jc w:val="right"/>
            </w:pPr>
            <w:r>
              <w:t xml:space="preserve">By: </w:t>
            </w:r>
            <w:r w:rsidR="00A537C1">
              <w:t>Goldman</w:t>
            </w:r>
          </w:p>
        </w:tc>
      </w:tr>
      <w:tr w:rsidR="009602CA" w14:paraId="13029822" w14:textId="77777777" w:rsidTr="00345119">
        <w:tc>
          <w:tcPr>
            <w:tcW w:w="9576" w:type="dxa"/>
          </w:tcPr>
          <w:p w14:paraId="31AB4854" w14:textId="77777777" w:rsidR="008423E4" w:rsidRPr="00861995" w:rsidRDefault="008D48B8" w:rsidP="009D4C85">
            <w:pPr>
              <w:jc w:val="right"/>
            </w:pPr>
            <w:r>
              <w:t>State Affairs</w:t>
            </w:r>
          </w:p>
        </w:tc>
      </w:tr>
      <w:tr w:rsidR="009602CA" w14:paraId="556B1DA6" w14:textId="77777777" w:rsidTr="00345119">
        <w:tc>
          <w:tcPr>
            <w:tcW w:w="9576" w:type="dxa"/>
          </w:tcPr>
          <w:p w14:paraId="65930D1E" w14:textId="77777777" w:rsidR="008423E4" w:rsidRDefault="008D48B8" w:rsidP="009D4C85">
            <w:pPr>
              <w:jc w:val="right"/>
            </w:pPr>
            <w:r>
              <w:t>Committee Report (Unamended)</w:t>
            </w:r>
          </w:p>
        </w:tc>
      </w:tr>
    </w:tbl>
    <w:p w14:paraId="095D5CC6" w14:textId="77777777" w:rsidR="008423E4" w:rsidRDefault="008423E4" w:rsidP="009D4C85">
      <w:pPr>
        <w:tabs>
          <w:tab w:val="right" w:pos="9360"/>
        </w:tabs>
      </w:pPr>
    </w:p>
    <w:p w14:paraId="5DBCC7E2" w14:textId="77777777" w:rsidR="008423E4" w:rsidRDefault="008423E4" w:rsidP="009D4C85"/>
    <w:p w14:paraId="2E4D0C88" w14:textId="77777777" w:rsidR="008423E4" w:rsidRDefault="008423E4" w:rsidP="009D4C8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602CA" w14:paraId="2CC01E25" w14:textId="77777777" w:rsidTr="00345119">
        <w:tc>
          <w:tcPr>
            <w:tcW w:w="9576" w:type="dxa"/>
          </w:tcPr>
          <w:p w14:paraId="5CE698AB" w14:textId="77777777" w:rsidR="008423E4" w:rsidRPr="00A8133F" w:rsidRDefault="008D48B8" w:rsidP="009D4C8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7BBB1B" w14:textId="77777777" w:rsidR="008423E4" w:rsidRDefault="008423E4" w:rsidP="009D4C85"/>
          <w:p w14:paraId="46C5AC43" w14:textId="4A312526" w:rsidR="008423E4" w:rsidRDefault="008D48B8" w:rsidP="009D4C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57B05">
              <w:t>Every two years</w:t>
            </w:r>
            <w:r w:rsidR="00B67551">
              <w:t>,</w:t>
            </w:r>
            <w:r w:rsidRPr="00757B05">
              <w:t xml:space="preserve"> the T</w:t>
            </w:r>
            <w:r w:rsidR="00B67551">
              <w:t xml:space="preserve">exas </w:t>
            </w:r>
            <w:r w:rsidRPr="00757B05">
              <w:t>E</w:t>
            </w:r>
            <w:r w:rsidR="00B67551">
              <w:t xml:space="preserve">thics </w:t>
            </w:r>
            <w:r w:rsidRPr="00757B05">
              <w:t>C</w:t>
            </w:r>
            <w:r w:rsidR="00B67551">
              <w:t>ommission (TEC)</w:t>
            </w:r>
            <w:r w:rsidRPr="00757B05">
              <w:t xml:space="preserve"> makes recommendations to the legislature</w:t>
            </w:r>
            <w:r w:rsidR="00B67551">
              <w:t xml:space="preserve"> regarding potential statutory modifications to improve the efficiency and efficacy of the TEC</w:t>
            </w:r>
            <w:r w:rsidRPr="00757B05">
              <w:t>. For several sessions, these recommendations have not been adopted by lawmakers, which has allowed some state campaign finance and ethics laws to become increasi</w:t>
            </w:r>
            <w:r w:rsidRPr="00757B05">
              <w:t>ngly outdated.</w:t>
            </w:r>
            <w:r w:rsidR="00B67551" w:rsidRPr="00B67551">
              <w:t xml:space="preserve"> </w:t>
            </w:r>
            <w:r w:rsidR="00B67551">
              <w:t>H.</w:t>
            </w:r>
            <w:r w:rsidR="00B67551" w:rsidRPr="00B67551">
              <w:t>B</w:t>
            </w:r>
            <w:r w:rsidR="00B67551">
              <w:t>.</w:t>
            </w:r>
            <w:r w:rsidR="00B67551" w:rsidRPr="00B67551">
              <w:t xml:space="preserve"> 3906 </w:t>
            </w:r>
            <w:r w:rsidR="00B67551">
              <w:t xml:space="preserve">seeks to </w:t>
            </w:r>
            <w:r w:rsidR="00B67551" w:rsidRPr="00B67551">
              <w:t xml:space="preserve">resolve statutory conflicts, modernize </w:t>
            </w:r>
            <w:r w:rsidR="00B67551">
              <w:t>reporting</w:t>
            </w:r>
            <w:r w:rsidR="00B67551" w:rsidRPr="00B67551">
              <w:t xml:space="preserve"> requirements</w:t>
            </w:r>
            <w:r w:rsidR="00B67551">
              <w:t>, and otherwise act on certain of the TEC's recommendations</w:t>
            </w:r>
            <w:r w:rsidR="00B67551" w:rsidRPr="00B67551">
              <w:t>.</w:t>
            </w:r>
          </w:p>
          <w:p w14:paraId="286E5BAF" w14:textId="77777777" w:rsidR="008423E4" w:rsidRPr="00E26B13" w:rsidRDefault="008423E4" w:rsidP="009D4C85">
            <w:pPr>
              <w:rPr>
                <w:b/>
              </w:rPr>
            </w:pPr>
          </w:p>
        </w:tc>
      </w:tr>
      <w:tr w:rsidR="009602CA" w14:paraId="13C8C379" w14:textId="77777777" w:rsidTr="00345119">
        <w:tc>
          <w:tcPr>
            <w:tcW w:w="9576" w:type="dxa"/>
          </w:tcPr>
          <w:p w14:paraId="6151358D" w14:textId="77777777" w:rsidR="0017725B" w:rsidRDefault="008D48B8" w:rsidP="009D4C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804056" w14:textId="77777777" w:rsidR="0017725B" w:rsidRDefault="0017725B" w:rsidP="009D4C85">
            <w:pPr>
              <w:rPr>
                <w:b/>
                <w:u w:val="single"/>
              </w:rPr>
            </w:pPr>
          </w:p>
          <w:p w14:paraId="6A30DC1C" w14:textId="77777777" w:rsidR="00706545" w:rsidRPr="00706545" w:rsidRDefault="008D48B8" w:rsidP="009D4C85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6F791934" w14:textId="77777777" w:rsidR="0017725B" w:rsidRPr="0017725B" w:rsidRDefault="0017725B" w:rsidP="009D4C85">
            <w:pPr>
              <w:rPr>
                <w:b/>
                <w:u w:val="single"/>
              </w:rPr>
            </w:pPr>
          </w:p>
        </w:tc>
      </w:tr>
      <w:tr w:rsidR="009602CA" w14:paraId="193E0C7C" w14:textId="77777777" w:rsidTr="00345119">
        <w:tc>
          <w:tcPr>
            <w:tcW w:w="9576" w:type="dxa"/>
          </w:tcPr>
          <w:p w14:paraId="17FFBBDF" w14:textId="77777777" w:rsidR="008423E4" w:rsidRPr="00A8133F" w:rsidRDefault="008D48B8" w:rsidP="009D4C8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D7155B" w14:textId="77777777" w:rsidR="008423E4" w:rsidRDefault="008423E4" w:rsidP="009D4C85"/>
          <w:p w14:paraId="7E5B1880" w14:textId="77777777" w:rsidR="00706545" w:rsidRDefault="008D48B8" w:rsidP="009D4C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14:paraId="07C7DB8B" w14:textId="77777777" w:rsidR="008423E4" w:rsidRPr="00E21FDC" w:rsidRDefault="008423E4" w:rsidP="009D4C85">
            <w:pPr>
              <w:rPr>
                <w:b/>
              </w:rPr>
            </w:pPr>
          </w:p>
        </w:tc>
      </w:tr>
      <w:tr w:rsidR="009602CA" w14:paraId="4EC1A470" w14:textId="77777777" w:rsidTr="00345119">
        <w:tc>
          <w:tcPr>
            <w:tcW w:w="9576" w:type="dxa"/>
          </w:tcPr>
          <w:p w14:paraId="7C71B23B" w14:textId="77777777" w:rsidR="008423E4" w:rsidRPr="00A8133F" w:rsidRDefault="008D48B8" w:rsidP="009D4C8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0CF82B0" w14:textId="77777777" w:rsidR="008423E4" w:rsidRDefault="008423E4" w:rsidP="009D4C85"/>
          <w:p w14:paraId="2F163BC6" w14:textId="45FF66D3" w:rsidR="00095BD9" w:rsidRDefault="008D48B8" w:rsidP="009D4C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3906 </w:t>
            </w:r>
            <w:r w:rsidR="006A2100">
              <w:t xml:space="preserve">amends the </w:t>
            </w:r>
            <w:r w:rsidR="006A2100" w:rsidRPr="006A2100">
              <w:t>Election Code</w:t>
            </w:r>
            <w:r w:rsidR="006A2100">
              <w:t xml:space="preserve"> to </w:t>
            </w:r>
            <w:r w:rsidR="00FD2B04">
              <w:t>authorize</w:t>
            </w:r>
            <w:r w:rsidR="002E4A16">
              <w:t xml:space="preserve"> each </w:t>
            </w:r>
            <w:r w:rsidR="00975305">
              <w:t xml:space="preserve">campaign </w:t>
            </w:r>
            <w:r w:rsidR="002E4A16">
              <w:t xml:space="preserve">finance report filed with the </w:t>
            </w:r>
            <w:r w:rsidR="002E4A16" w:rsidRPr="002E4A16">
              <w:t>Texas Ethics Commission</w:t>
            </w:r>
            <w:r w:rsidR="00FD2B04">
              <w:t xml:space="preserve"> </w:t>
            </w:r>
            <w:r w:rsidR="007261FF">
              <w:t xml:space="preserve">(TEC) </w:t>
            </w:r>
            <w:r w:rsidR="00FD2B04">
              <w:t xml:space="preserve">that is not </w:t>
            </w:r>
            <w:r w:rsidR="00FD2B04" w:rsidRPr="00FD2B04">
              <w:t>required to be filed electronically</w:t>
            </w:r>
            <w:r w:rsidR="00FD2B04">
              <w:t xml:space="preserve"> to be typed or written in blue ink </w:t>
            </w:r>
            <w:r w:rsidR="00B86966">
              <w:t>as an alternative to black ink</w:t>
            </w:r>
            <w:r w:rsidR="00FD2B04">
              <w:t xml:space="preserve">. </w:t>
            </w:r>
            <w:r w:rsidR="00B86966">
              <w:t xml:space="preserve">The bill removes references to certain obsolete </w:t>
            </w:r>
            <w:r>
              <w:t xml:space="preserve">technology and requirements regarding the format of computer printouts. </w:t>
            </w:r>
          </w:p>
          <w:p w14:paraId="4DF298FE" w14:textId="77777777" w:rsidR="00095BD9" w:rsidRDefault="00095BD9" w:rsidP="009D4C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14DE884" w14:textId="7F27F545" w:rsidR="0035561D" w:rsidRDefault="008D48B8" w:rsidP="009D4C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</w:t>
            </w:r>
            <w:r>
              <w:t>B. 3906</w:t>
            </w:r>
            <w:r w:rsidR="00FD2B04">
              <w:t xml:space="preserve"> includes political advertising that is </w:t>
            </w:r>
            <w:r w:rsidR="00FD2B04" w:rsidRPr="00FD2B04">
              <w:t>authorized by</w:t>
            </w:r>
            <w:r w:rsidR="00FD2B04">
              <w:t xml:space="preserve"> an </w:t>
            </w:r>
            <w:r w:rsidR="00FD2B04" w:rsidRPr="00FD2B04">
              <w:t>agent of a</w:t>
            </w:r>
            <w:r w:rsidR="00FD2B04">
              <w:t xml:space="preserve"> </w:t>
            </w:r>
            <w:r w:rsidR="00FD2B04" w:rsidRPr="00FD2B04">
              <w:t xml:space="preserve">political committee filing </w:t>
            </w:r>
            <w:r w:rsidR="00FD2B04">
              <w:t xml:space="preserve">campaign finance </w:t>
            </w:r>
            <w:r w:rsidR="00FD2B04" w:rsidRPr="00FD2B04">
              <w:t>reports</w:t>
            </w:r>
            <w:r w:rsidR="00FD2B04">
              <w:t xml:space="preserve"> among the advertising that is </w:t>
            </w:r>
            <w:r w:rsidR="00FD2B04" w:rsidRPr="00FD2B04">
              <w:t>deemed to contain express advocacy.</w:t>
            </w:r>
            <w:r w:rsidR="007261FF">
              <w:t xml:space="preserve"> </w:t>
            </w:r>
          </w:p>
          <w:p w14:paraId="24DDD125" w14:textId="77777777" w:rsidR="007261FF" w:rsidRDefault="007261FF" w:rsidP="009D4C85">
            <w:pPr>
              <w:pStyle w:val="Header"/>
              <w:jc w:val="both"/>
            </w:pPr>
          </w:p>
          <w:p w14:paraId="06457BD7" w14:textId="3D4EA8EE" w:rsidR="00B86966" w:rsidRDefault="008D48B8" w:rsidP="009D4C85">
            <w:pPr>
              <w:pStyle w:val="Header"/>
              <w:jc w:val="both"/>
            </w:pPr>
            <w:r>
              <w:t xml:space="preserve">H.B. 3906 </w:t>
            </w:r>
            <w:r w:rsidR="00B67551">
              <w:t xml:space="preserve">amends the Government Code to </w:t>
            </w:r>
            <w:r w:rsidR="008A6796">
              <w:t>include among the conditions that</w:t>
            </w:r>
            <w:r>
              <w:t xml:space="preserve"> must be satisfied to</w:t>
            </w:r>
            <w:r w:rsidR="008A6796">
              <w:t xml:space="preserve"> trigger the </w:t>
            </w:r>
            <w:r w:rsidR="00BA3E3C">
              <w:t>mandatory dismissal by the</w:t>
            </w:r>
            <w:r w:rsidR="008A6796">
              <w:t xml:space="preserve"> TEC </w:t>
            </w:r>
            <w:r w:rsidR="00BA3E3C">
              <w:t>of</w:t>
            </w:r>
            <w:r w:rsidR="00404B48">
              <w:t xml:space="preserve"> a complaint</w:t>
            </w:r>
            <w:r w:rsidR="00BF2570">
              <w:t xml:space="preserve"> alleg</w:t>
            </w:r>
            <w:r w:rsidR="002563DF">
              <w:t>ing</w:t>
            </w:r>
            <w:r w:rsidR="00BF2570">
              <w:t xml:space="preserve"> a statement, registration, or report violates a law or rule</w:t>
            </w:r>
            <w:r w:rsidR="00404B48">
              <w:t xml:space="preserve"> </w:t>
            </w:r>
            <w:r w:rsidR="00BF2570">
              <w:t>the respondent</w:t>
            </w:r>
            <w:r w:rsidR="00BA3E3C">
              <w:t>'s</w:t>
            </w:r>
            <w:r w:rsidR="00BF2570">
              <w:t xml:space="preserve"> </w:t>
            </w:r>
            <w:r w:rsidR="00404B48">
              <w:t>fil</w:t>
            </w:r>
            <w:r w:rsidR="00BF2570">
              <w:t>ing</w:t>
            </w:r>
            <w:r w:rsidR="00BA3E3C">
              <w:t xml:space="preserve">, </w:t>
            </w:r>
            <w:r w:rsidR="00404B48">
              <w:t>with</w:t>
            </w:r>
            <w:r w:rsidR="00BA3E3C">
              <w:t xml:space="preserve"> the</w:t>
            </w:r>
            <w:r w:rsidR="00404B48">
              <w:t xml:space="preserve"> corrected or amended statement, </w:t>
            </w:r>
            <w:r w:rsidR="00404B48" w:rsidRPr="00404B48">
              <w:t>registration, or report</w:t>
            </w:r>
            <w:r w:rsidR="00BA3E3C">
              <w:t>,</w:t>
            </w:r>
            <w:r w:rsidR="0077711A">
              <w:t xml:space="preserve"> </w:t>
            </w:r>
            <w:r w:rsidR="00BA3E3C">
              <w:t xml:space="preserve">of </w:t>
            </w:r>
            <w:r w:rsidR="00BA3E3C" w:rsidRPr="0077711A">
              <w:t xml:space="preserve">an affidavit </w:t>
            </w:r>
            <w:r w:rsidR="0077711A" w:rsidRPr="0077711A">
              <w:t>stating that any error or omission in the statement, registration, or report as originally filed was made in good faith</w:t>
            </w:r>
            <w:r w:rsidR="0077711A">
              <w:t xml:space="preserve">. </w:t>
            </w:r>
          </w:p>
          <w:p w14:paraId="52DFC867" w14:textId="77777777" w:rsidR="00B86966" w:rsidRDefault="00B86966" w:rsidP="009D4C85">
            <w:pPr>
              <w:pStyle w:val="Header"/>
              <w:jc w:val="both"/>
            </w:pPr>
          </w:p>
          <w:p w14:paraId="6CAD2CF7" w14:textId="0EA02627" w:rsidR="00CD3153" w:rsidRDefault="008D48B8" w:rsidP="009D4C85">
            <w:pPr>
              <w:pStyle w:val="Header"/>
              <w:jc w:val="both"/>
            </w:pPr>
            <w:r>
              <w:t>H.B. 3906</w:t>
            </w:r>
            <w:r w:rsidR="0077711A">
              <w:t xml:space="preserve"> </w:t>
            </w:r>
            <w:r w:rsidR="0000291D">
              <w:t>revises</w:t>
            </w:r>
            <w:r w:rsidR="009350F8">
              <w:t xml:space="preserve"> the</w:t>
            </w:r>
            <w:r w:rsidR="0000291D">
              <w:t xml:space="preserve"> requirement for the TEC to </w:t>
            </w:r>
            <w:r w:rsidR="009350F8">
              <w:t xml:space="preserve">provide a certain notice to </w:t>
            </w:r>
            <w:r w:rsidR="006A36A6">
              <w:t xml:space="preserve">each </w:t>
            </w:r>
            <w:r>
              <w:t xml:space="preserve">individual </w:t>
            </w:r>
            <w:r w:rsidR="006A36A6">
              <w:t xml:space="preserve">who is </w:t>
            </w:r>
            <w:r w:rsidR="009A112D">
              <w:t>required to file</w:t>
            </w:r>
            <w:r w:rsidR="0000291D">
              <w:t xml:space="preserve"> a </w:t>
            </w:r>
            <w:r w:rsidR="0000291D" w:rsidRPr="0000291D">
              <w:t xml:space="preserve">personal financial </w:t>
            </w:r>
            <w:r w:rsidR="006A36A6">
              <w:t xml:space="preserve">disclosure </w:t>
            </w:r>
            <w:r w:rsidRPr="00CD3153">
              <w:t xml:space="preserve">statement </w:t>
            </w:r>
            <w:r w:rsidR="00BA3E3C">
              <w:t>as follows</w:t>
            </w:r>
            <w:r>
              <w:t>:</w:t>
            </w:r>
          </w:p>
          <w:p w14:paraId="32C92B78" w14:textId="3F225314" w:rsidR="006A36A6" w:rsidRDefault="008D48B8" w:rsidP="009D4C8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remove</w:t>
            </w:r>
            <w:r w:rsidR="00BA3E3C">
              <w:t>s</w:t>
            </w:r>
            <w:r>
              <w:t xml:space="preserve"> the requirement that </w:t>
            </w:r>
            <w:r w:rsidR="009350F8">
              <w:t xml:space="preserve">the </w:t>
            </w:r>
            <w:r>
              <w:t>notice be provided by mail;</w:t>
            </w:r>
            <w:r w:rsidR="00B67551">
              <w:t xml:space="preserve"> </w:t>
            </w:r>
            <w:r>
              <w:t>and</w:t>
            </w:r>
          </w:p>
          <w:p w14:paraId="4AA2F1BC" w14:textId="31CA992E" w:rsidR="00CD3153" w:rsidRDefault="008D48B8" w:rsidP="009D4C8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requir</w:t>
            </w:r>
            <w:r w:rsidR="006A36A6">
              <w:t>e</w:t>
            </w:r>
            <w:r w:rsidR="00BA3E3C">
              <w:t>s</w:t>
            </w:r>
            <w:r>
              <w:t xml:space="preserve"> the noti</w:t>
            </w:r>
            <w:r w:rsidR="006A36A6">
              <w:t>ce</w:t>
            </w:r>
            <w:r>
              <w:t xml:space="preserve"> </w:t>
            </w:r>
            <w:r w:rsidR="00106F8A">
              <w:t xml:space="preserve">to instruct </w:t>
            </w:r>
            <w:r>
              <w:t xml:space="preserve">the individual </w:t>
            </w:r>
            <w:r w:rsidR="0000291D">
              <w:t xml:space="preserve">of </w:t>
            </w:r>
            <w:r w:rsidR="0000291D" w:rsidRPr="0000291D">
              <w:t>the manner in which the</w:t>
            </w:r>
            <w:r w:rsidR="00BA3E3C">
              <w:t xml:space="preserve">y </w:t>
            </w:r>
            <w:r w:rsidR="0000291D" w:rsidRPr="0000291D">
              <w:t xml:space="preserve">may access instructions for filing financial statements and electronically file the financial statement on </w:t>
            </w:r>
            <w:r w:rsidR="0000291D">
              <w:t>the TEC website</w:t>
            </w:r>
            <w:r w:rsidR="00106F8A">
              <w:t>.</w:t>
            </w:r>
            <w:r w:rsidR="0000291D">
              <w:t xml:space="preserve"> </w:t>
            </w:r>
          </w:p>
          <w:p w14:paraId="68208E0A" w14:textId="41CC8FAC" w:rsidR="007261FF" w:rsidRDefault="008D48B8" w:rsidP="009D4C85">
            <w:pPr>
              <w:pStyle w:val="Header"/>
              <w:jc w:val="both"/>
            </w:pPr>
            <w:r>
              <w:t xml:space="preserve">The bill </w:t>
            </w:r>
            <w:r w:rsidR="0077711A">
              <w:t>repeal</w:t>
            </w:r>
            <w:r>
              <w:t xml:space="preserve">s </w:t>
            </w:r>
            <w:r w:rsidR="00263DA0">
              <w:t>provisions requiring</w:t>
            </w:r>
            <w:r>
              <w:t xml:space="preserve"> </w:t>
            </w:r>
            <w:r w:rsidR="0077711A">
              <w:t xml:space="preserve">the TEC to mail </w:t>
            </w:r>
            <w:r w:rsidR="00E11918" w:rsidRPr="00E11918">
              <w:t xml:space="preserve">a copy of </w:t>
            </w:r>
            <w:r w:rsidR="00E11918">
              <w:t xml:space="preserve">the </w:t>
            </w:r>
            <w:r w:rsidR="00E11918" w:rsidRPr="00E11918">
              <w:t xml:space="preserve">forms and instructions </w:t>
            </w:r>
            <w:r w:rsidR="008E3E09">
              <w:t xml:space="preserve">for the </w:t>
            </w:r>
            <w:r w:rsidR="00CD3153">
              <w:t xml:space="preserve">report to </w:t>
            </w:r>
            <w:r>
              <w:t xml:space="preserve">an </w:t>
            </w:r>
            <w:r w:rsidR="00CD3153">
              <w:t>individual</w:t>
            </w:r>
            <w:r w:rsidR="008E3E09">
              <w:t xml:space="preserve"> on request</w:t>
            </w:r>
            <w:r w:rsidR="00263DA0">
              <w:t xml:space="preserve"> and authorizing the TEC to charge a fee for that mailing </w:t>
            </w:r>
            <w:r>
              <w:t xml:space="preserve">and </w:t>
            </w:r>
            <w:r>
              <w:t>further revises the required contents of the notice accordingly</w:t>
            </w:r>
            <w:r w:rsidR="008E3E09">
              <w:t xml:space="preserve">. </w:t>
            </w:r>
          </w:p>
          <w:p w14:paraId="492AA187" w14:textId="77777777" w:rsidR="00106F8A" w:rsidRDefault="00106F8A" w:rsidP="009D4C85">
            <w:pPr>
              <w:pStyle w:val="Header"/>
              <w:jc w:val="both"/>
            </w:pPr>
          </w:p>
          <w:p w14:paraId="4FC68DEB" w14:textId="527DE7A0" w:rsidR="005811E6" w:rsidRDefault="008D48B8" w:rsidP="009D4C85">
            <w:pPr>
              <w:pStyle w:val="Header"/>
              <w:jc w:val="both"/>
            </w:pPr>
            <w:r>
              <w:t xml:space="preserve">H.B. 3906 resolves statutory conflicts in Section 305.024(a), Government Code, </w:t>
            </w:r>
            <w:r w:rsidR="006E27E9">
              <w:t>which establishes restrictions on expenditures by a person required to register under statutory provisions relating to lobbyist registration</w:t>
            </w:r>
            <w:r>
              <w:t>, by</w:t>
            </w:r>
            <w:r w:rsidR="00FD1D89">
              <w:t xml:space="preserve"> doing the following</w:t>
            </w:r>
            <w:r>
              <w:t>:</w:t>
            </w:r>
          </w:p>
          <w:p w14:paraId="420A61F2" w14:textId="57A9FDBF" w:rsidR="006E27E9" w:rsidRDefault="008D48B8" w:rsidP="009D4C8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reenacting</w:t>
            </w:r>
            <w:r w:rsidR="0076763D">
              <w:t xml:space="preserve"> </w:t>
            </w:r>
            <w:r>
              <w:t xml:space="preserve">Section 305.024(a), </w:t>
            </w:r>
            <w:r w:rsidR="0076763D">
              <w:t xml:space="preserve">as amended by Chapter 206 (H.B. 1508), Acts of the 79th Legislature, Regular Session, 2005, which </w:t>
            </w:r>
            <w:r>
              <w:t xml:space="preserve">makes the restrictions applicable only with respect to a member of the </w:t>
            </w:r>
            <w:r>
              <w:t xml:space="preserve">legislative or executive branch and expressly excludes from the restrictions </w:t>
            </w:r>
            <w:r w:rsidR="005811E6" w:rsidRPr="005811E6">
              <w:t>an expenditure for food or beverages with a value of $50 or less intended as a gift for a member of the legislative or executive branch and delivered by first</w:t>
            </w:r>
            <w:r w:rsidR="00240C61">
              <w:t xml:space="preserve"> </w:t>
            </w:r>
            <w:r w:rsidR="005811E6" w:rsidRPr="005811E6">
              <w:t xml:space="preserve">class </w:t>
            </w:r>
            <w:r w:rsidR="005811E6">
              <w:t>U.S.</w:t>
            </w:r>
            <w:r w:rsidR="005811E6" w:rsidRPr="005811E6">
              <w:t xml:space="preserve"> mail or by common or contract carrier outside the Capitol Complex</w:t>
            </w:r>
            <w:r w:rsidR="005811E6">
              <w:t>; and</w:t>
            </w:r>
          </w:p>
          <w:p w14:paraId="793FE431" w14:textId="5850A9D6" w:rsidR="005811E6" w:rsidRDefault="008D48B8" w:rsidP="009D4C85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repealing conflicting provisions which did not include that exception and which made certain of the expenditure restrictions applicable also with respect to the following:</w:t>
            </w:r>
          </w:p>
          <w:p w14:paraId="32F8C386" w14:textId="77D5DECC" w:rsidR="005811E6" w:rsidRDefault="008D48B8" w:rsidP="009D4C85">
            <w:pPr>
              <w:pStyle w:val="Header"/>
              <w:numPr>
                <w:ilvl w:val="1"/>
                <w:numId w:val="3"/>
              </w:numPr>
              <w:jc w:val="both"/>
            </w:pPr>
            <w:r>
              <w:t xml:space="preserve">state legislators and </w:t>
            </w:r>
            <w:r>
              <w:t>other elected or appointed state officers;</w:t>
            </w:r>
          </w:p>
          <w:p w14:paraId="0C71AD18" w14:textId="4FEE2B73" w:rsidR="005811E6" w:rsidRDefault="008D48B8" w:rsidP="009D4C85">
            <w:pPr>
              <w:pStyle w:val="Header"/>
              <w:numPr>
                <w:ilvl w:val="1"/>
                <w:numId w:val="3"/>
              </w:numPr>
              <w:jc w:val="both"/>
            </w:pPr>
            <w:r>
              <w:t>legislative and executive agency employees;</w:t>
            </w:r>
          </w:p>
          <w:p w14:paraId="7F05C552" w14:textId="07C0A48F" w:rsidR="005811E6" w:rsidRDefault="008D48B8" w:rsidP="009D4C85">
            <w:pPr>
              <w:pStyle w:val="Header"/>
              <w:numPr>
                <w:ilvl w:val="1"/>
                <w:numId w:val="3"/>
              </w:numPr>
              <w:jc w:val="both"/>
            </w:pPr>
            <w:r w:rsidRPr="005811E6">
              <w:t>guest</w:t>
            </w:r>
            <w:r>
              <w:t>s, when invited by any such individual; and</w:t>
            </w:r>
          </w:p>
          <w:p w14:paraId="29905ED2" w14:textId="1626FE33" w:rsidR="005811E6" w:rsidRDefault="008D48B8" w:rsidP="009D4C85">
            <w:pPr>
              <w:pStyle w:val="Header"/>
              <w:numPr>
                <w:ilvl w:val="1"/>
                <w:numId w:val="3"/>
              </w:numPr>
              <w:jc w:val="both"/>
            </w:pPr>
            <w:r>
              <w:t>the immediate family of a member of the legislative or executive branch.</w:t>
            </w:r>
          </w:p>
          <w:p w14:paraId="72AF38F4" w14:textId="77777777" w:rsidR="0076763D" w:rsidRDefault="0076763D" w:rsidP="009D4C85">
            <w:pPr>
              <w:pStyle w:val="Header"/>
              <w:jc w:val="both"/>
            </w:pPr>
          </w:p>
          <w:p w14:paraId="296D7255" w14:textId="0B182621" w:rsidR="001D38DC" w:rsidRDefault="008D48B8" w:rsidP="009D4C85">
            <w:pPr>
              <w:pStyle w:val="Header"/>
              <w:jc w:val="both"/>
            </w:pPr>
            <w:r>
              <w:t xml:space="preserve">H.B. 3906 </w:t>
            </w:r>
            <w:r w:rsidR="00FD1D89">
              <w:t xml:space="preserve">resolves statutory conflicts in Section 572.032(a-1), Government Code, which restricts public access to certain information contained in a </w:t>
            </w:r>
            <w:r w:rsidR="0081238F">
              <w:t xml:space="preserve">personal </w:t>
            </w:r>
            <w:r w:rsidR="00FD1D89">
              <w:t>financial statement filed with the TEC, by doing the following:</w:t>
            </w:r>
          </w:p>
          <w:p w14:paraId="4EB4C57C" w14:textId="2F78758F" w:rsidR="00FD1D89" w:rsidRDefault="008D48B8" w:rsidP="009D4C85">
            <w:pPr>
              <w:pStyle w:val="Header"/>
              <w:numPr>
                <w:ilvl w:val="0"/>
                <w:numId w:val="4"/>
              </w:numPr>
              <w:jc w:val="both"/>
            </w:pPr>
            <w:r>
              <w:t>reenact</w:t>
            </w:r>
            <w:r w:rsidR="00FE72CF">
              <w:t>ing</w:t>
            </w:r>
            <w:r>
              <w:t xml:space="preserve"> </w:t>
            </w:r>
            <w:r w:rsidRPr="00CD3153">
              <w:t xml:space="preserve">Section 572.032(a-1), Government </w:t>
            </w:r>
            <w:r w:rsidRPr="00CD3153">
              <w:t>Code, as amended by Chapter 983 (H.B.</w:t>
            </w:r>
            <w:r w:rsidR="00240C61">
              <w:t> </w:t>
            </w:r>
            <w:r w:rsidRPr="00CD3153">
              <w:t>776), Acts of the 85th Legislature, Regular Session, 2017,</w:t>
            </w:r>
            <w:r w:rsidR="00EF3417">
              <w:t xml:space="preserve"> </w:t>
            </w:r>
            <w:r>
              <w:t xml:space="preserve">which </w:t>
            </w:r>
            <w:r w:rsidR="00EF3417">
              <w:t>requir</w:t>
            </w:r>
            <w:r>
              <w:t>es</w:t>
            </w:r>
            <w:r w:rsidR="00EF3417">
              <w:t xml:space="preserve"> the TEC to </w:t>
            </w:r>
            <w:r w:rsidR="00EF3417" w:rsidRPr="00EF3417">
              <w:t xml:space="preserve">remove the home address, the telephone number, and the names of the dependent children of an individual from </w:t>
            </w:r>
            <w:r>
              <w:t>the</w:t>
            </w:r>
            <w:r w:rsidR="00EF3417" w:rsidRPr="00EF3417">
              <w:t xml:space="preserve"> statement</w:t>
            </w:r>
            <w:r w:rsidR="00EF3417">
              <w:t xml:space="preserve"> before </w:t>
            </w:r>
            <w:r>
              <w:t>doi</w:t>
            </w:r>
            <w:r>
              <w:t>ng any of the following:</w:t>
            </w:r>
          </w:p>
          <w:p w14:paraId="535E9670" w14:textId="283DE710" w:rsidR="00FD1D89" w:rsidRDefault="008D48B8" w:rsidP="009D4C85">
            <w:pPr>
              <w:pStyle w:val="Header"/>
              <w:numPr>
                <w:ilvl w:val="1"/>
                <w:numId w:val="4"/>
              </w:numPr>
              <w:jc w:val="both"/>
            </w:pPr>
            <w:r w:rsidRPr="00EF3417">
              <w:t>permitting a member of the public to view the statement</w:t>
            </w:r>
            <w:r>
              <w:t xml:space="preserve">; </w:t>
            </w:r>
          </w:p>
          <w:p w14:paraId="449D2663" w14:textId="69D61957" w:rsidR="00FD1D89" w:rsidRDefault="008D48B8" w:rsidP="009D4C85">
            <w:pPr>
              <w:pStyle w:val="Header"/>
              <w:numPr>
                <w:ilvl w:val="1"/>
                <w:numId w:val="4"/>
              </w:numPr>
              <w:jc w:val="both"/>
            </w:pPr>
            <w:r w:rsidRPr="00EF3417">
              <w:t>providing a copy of the statement to a member of the public</w:t>
            </w:r>
            <w:r>
              <w:t xml:space="preserve">; or </w:t>
            </w:r>
          </w:p>
          <w:p w14:paraId="6782BF44" w14:textId="77777777" w:rsidR="00FD1D89" w:rsidRDefault="008D48B8" w:rsidP="009D4C85">
            <w:pPr>
              <w:pStyle w:val="Header"/>
              <w:numPr>
                <w:ilvl w:val="1"/>
                <w:numId w:val="4"/>
              </w:numPr>
              <w:jc w:val="both"/>
            </w:pPr>
            <w:r>
              <w:t xml:space="preserve">making the statement </w:t>
            </w:r>
            <w:r w:rsidRPr="00EF3417">
              <w:t xml:space="preserve">available to the public on the </w:t>
            </w:r>
            <w:r>
              <w:t>TEC</w:t>
            </w:r>
            <w:r w:rsidRPr="00EF3417">
              <w:t xml:space="preserve"> website</w:t>
            </w:r>
            <w:r>
              <w:t>; and</w:t>
            </w:r>
          </w:p>
          <w:p w14:paraId="4F71C9CA" w14:textId="07960DEE" w:rsidR="00CD3153" w:rsidRDefault="008D48B8" w:rsidP="009D4C85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repealing conflicting provisions that require the TEC to remove </w:t>
            </w:r>
            <w:r w:rsidR="005A0E0A">
              <w:t xml:space="preserve">only </w:t>
            </w:r>
            <w:r>
              <w:t xml:space="preserve">the home address of a judge, justice, or member of the governing board of executive head of the Texas Civil Commitment Office from a statement before </w:t>
            </w:r>
            <w:r w:rsidRPr="00FD1D89">
              <w:t xml:space="preserve">permitting a member of the public to </w:t>
            </w:r>
            <w:r w:rsidRPr="00FD1D89">
              <w:t xml:space="preserve">view </w:t>
            </w:r>
            <w:r>
              <w:t>the</w:t>
            </w:r>
            <w:r w:rsidRPr="00FD1D89">
              <w:t xml:space="preserve"> statement or providing a copy of the statement to a member of the public</w:t>
            </w:r>
            <w:r w:rsidR="00EF3417">
              <w:t xml:space="preserve">. </w:t>
            </w:r>
          </w:p>
          <w:p w14:paraId="5B57257F" w14:textId="53231E80" w:rsidR="005646A4" w:rsidRDefault="005646A4" w:rsidP="009D4C85">
            <w:pPr>
              <w:pStyle w:val="Header"/>
              <w:jc w:val="both"/>
            </w:pPr>
          </w:p>
          <w:p w14:paraId="0555EDE5" w14:textId="4D858A86" w:rsidR="00E4222D" w:rsidRDefault="008D48B8" w:rsidP="009D4C85">
            <w:pPr>
              <w:pStyle w:val="Header"/>
              <w:jc w:val="both"/>
            </w:pPr>
            <w:r>
              <w:t>H.B. 3906 resolves statutory conflicts in Sec</w:t>
            </w:r>
            <w:r w:rsidR="00A8250A">
              <w:t>tion</w:t>
            </w:r>
            <w:r>
              <w:t xml:space="preserve"> 571.122(b-1), Government Code, </w:t>
            </w:r>
            <w:r w:rsidR="004C7846">
              <w:t xml:space="preserve">which </w:t>
            </w:r>
            <w:r w:rsidR="00240C61">
              <w:t>grants standing</w:t>
            </w:r>
            <w:r w:rsidR="004C7846">
              <w:t xml:space="preserve"> to certain individuals to file a sworn complaint with the TEC, </w:t>
            </w:r>
            <w:r>
              <w:t>by re</w:t>
            </w:r>
            <w:r>
              <w:t xml:space="preserve">pealing a provision that grants standing to an individual who is not a Texas resident but who owns real property in Texas to file </w:t>
            </w:r>
            <w:r w:rsidR="004C7846">
              <w:t xml:space="preserve">such </w:t>
            </w:r>
            <w:r>
              <w:t>a complaint</w:t>
            </w:r>
            <w:r w:rsidR="004C7846">
              <w:t>.</w:t>
            </w:r>
          </w:p>
          <w:p w14:paraId="4E0B46A3" w14:textId="77777777" w:rsidR="00E4222D" w:rsidRDefault="00E4222D" w:rsidP="009D4C85">
            <w:pPr>
              <w:pStyle w:val="Header"/>
              <w:jc w:val="both"/>
            </w:pPr>
          </w:p>
          <w:p w14:paraId="39464E2E" w14:textId="55971837" w:rsidR="005646A4" w:rsidRDefault="008D48B8" w:rsidP="009D4C85">
            <w:pPr>
              <w:pStyle w:val="Header"/>
              <w:jc w:val="both"/>
            </w:pPr>
            <w:r>
              <w:t>H.B. 3906 repeals the following provisions:</w:t>
            </w:r>
          </w:p>
          <w:p w14:paraId="33228F58" w14:textId="77777777" w:rsidR="00E4222D" w:rsidRDefault="008D48B8" w:rsidP="009D4C85">
            <w:pPr>
              <w:pStyle w:val="Header"/>
              <w:numPr>
                <w:ilvl w:val="0"/>
                <w:numId w:val="2"/>
              </w:numPr>
              <w:jc w:val="both"/>
            </w:pPr>
            <w:r w:rsidRPr="005029A6">
              <w:t>Section 2, Chapter 92 (S.B. 1011), Acts of the 79th Legislature</w:t>
            </w:r>
            <w:r w:rsidRPr="005029A6">
              <w:t>, Regular Session, 2005</w:t>
            </w:r>
            <w:r>
              <w:t xml:space="preserve">; </w:t>
            </w:r>
          </w:p>
          <w:p w14:paraId="599AF698" w14:textId="46235919" w:rsidR="00E4222D" w:rsidRDefault="008D48B8" w:rsidP="009D4C85">
            <w:pPr>
              <w:pStyle w:val="Header"/>
              <w:numPr>
                <w:ilvl w:val="0"/>
                <w:numId w:val="2"/>
              </w:numPr>
              <w:jc w:val="both"/>
            </w:pPr>
            <w:r w:rsidRPr="005029A6">
              <w:t>Section 15, Chapter 34 (S.B. 1576), Acts of the 85th Legislature, Regular Session, 2017</w:t>
            </w:r>
            <w:r>
              <w:t xml:space="preserve">; </w:t>
            </w:r>
          </w:p>
          <w:p w14:paraId="59321AC5" w14:textId="5EA2CD0F" w:rsidR="005646A4" w:rsidRDefault="008D48B8" w:rsidP="009D4C85">
            <w:pPr>
              <w:pStyle w:val="Header"/>
              <w:numPr>
                <w:ilvl w:val="0"/>
                <w:numId w:val="2"/>
              </w:numPr>
              <w:jc w:val="both"/>
            </w:pPr>
            <w:r w:rsidRPr="005646A4">
              <w:t xml:space="preserve">Section 571.122(b-1), </w:t>
            </w:r>
            <w:r w:rsidR="00E4222D">
              <w:t xml:space="preserve">Government Code, </w:t>
            </w:r>
            <w:r w:rsidRPr="005646A4">
              <w:t>as added by Chapter 604 (H.B. 677), Acts of the 81st Legislature, Regular Session, 2009</w:t>
            </w:r>
            <w:r>
              <w:t>;</w:t>
            </w:r>
            <w:r w:rsidR="00E4222D">
              <w:t xml:space="preserve"> and</w:t>
            </w:r>
          </w:p>
          <w:p w14:paraId="45960F58" w14:textId="77777777" w:rsidR="005029A6" w:rsidRDefault="008D48B8" w:rsidP="009D4C85">
            <w:pPr>
              <w:pStyle w:val="Header"/>
              <w:numPr>
                <w:ilvl w:val="0"/>
                <w:numId w:val="2"/>
              </w:numPr>
              <w:jc w:val="both"/>
            </w:pPr>
            <w:r w:rsidRPr="005646A4">
              <w:t>Sections</w:t>
            </w:r>
            <w:r w:rsidRPr="005646A4">
              <w:t xml:space="preserve"> 572.030(d) and (e)</w:t>
            </w:r>
            <w:r w:rsidR="00E4222D">
              <w:t>, Government Code.</w:t>
            </w:r>
          </w:p>
          <w:p w14:paraId="522ACB2F" w14:textId="0638A171" w:rsidR="009D4C85" w:rsidRPr="0062143A" w:rsidRDefault="009D4C85" w:rsidP="009D4C85">
            <w:pPr>
              <w:pStyle w:val="Header"/>
              <w:jc w:val="both"/>
            </w:pPr>
          </w:p>
        </w:tc>
      </w:tr>
      <w:tr w:rsidR="009602CA" w14:paraId="48D860FB" w14:textId="77777777" w:rsidTr="00345119">
        <w:tc>
          <w:tcPr>
            <w:tcW w:w="9576" w:type="dxa"/>
          </w:tcPr>
          <w:p w14:paraId="75CE38C5" w14:textId="77777777" w:rsidR="008423E4" w:rsidRPr="00A8133F" w:rsidRDefault="008D48B8" w:rsidP="009D4C8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364E6D7" w14:textId="77777777" w:rsidR="008423E4" w:rsidRDefault="008423E4" w:rsidP="009D4C85"/>
          <w:p w14:paraId="50F87097" w14:textId="77777777" w:rsidR="008423E4" w:rsidRPr="003624F2" w:rsidRDefault="008D48B8" w:rsidP="009D4C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6042A51" w14:textId="77777777" w:rsidR="008423E4" w:rsidRPr="00233FDB" w:rsidRDefault="008423E4" w:rsidP="009D4C85">
            <w:pPr>
              <w:rPr>
                <w:b/>
              </w:rPr>
            </w:pPr>
          </w:p>
        </w:tc>
      </w:tr>
    </w:tbl>
    <w:p w14:paraId="300D6B2E" w14:textId="77777777" w:rsidR="008423E4" w:rsidRPr="00BE0E75" w:rsidRDefault="008423E4" w:rsidP="009D4C85">
      <w:pPr>
        <w:jc w:val="both"/>
        <w:rPr>
          <w:rFonts w:ascii="Arial" w:hAnsi="Arial"/>
          <w:sz w:val="16"/>
          <w:szCs w:val="16"/>
        </w:rPr>
      </w:pPr>
    </w:p>
    <w:p w14:paraId="0DD59011" w14:textId="77777777" w:rsidR="004108C3" w:rsidRPr="008423E4" w:rsidRDefault="004108C3" w:rsidP="009D4C8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F6FBD" w14:textId="77777777" w:rsidR="00000000" w:rsidRDefault="008D48B8">
      <w:r>
        <w:separator/>
      </w:r>
    </w:p>
  </w:endnote>
  <w:endnote w:type="continuationSeparator" w:id="0">
    <w:p w14:paraId="65E65B2A" w14:textId="77777777" w:rsidR="00000000" w:rsidRDefault="008D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637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602CA" w14:paraId="4B5AD93A" w14:textId="77777777" w:rsidTr="009C1E9A">
      <w:trPr>
        <w:cantSplit/>
      </w:trPr>
      <w:tc>
        <w:tcPr>
          <w:tcW w:w="0" w:type="pct"/>
        </w:tcPr>
        <w:p w14:paraId="1E9159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1FBBA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6DE8F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8EAD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AFB2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02CA" w14:paraId="69A9BC8D" w14:textId="77777777" w:rsidTr="009C1E9A">
      <w:trPr>
        <w:cantSplit/>
      </w:trPr>
      <w:tc>
        <w:tcPr>
          <w:tcW w:w="0" w:type="pct"/>
        </w:tcPr>
        <w:p w14:paraId="774C636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8F593D" w14:textId="77777777" w:rsidR="00EC379B" w:rsidRPr="009C1E9A" w:rsidRDefault="008D48B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23725</w:t>
          </w:r>
        </w:p>
      </w:tc>
      <w:tc>
        <w:tcPr>
          <w:tcW w:w="2453" w:type="pct"/>
        </w:tcPr>
        <w:p w14:paraId="3E5F50C0" w14:textId="551DECF2" w:rsidR="00EC379B" w:rsidRDefault="008D48B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02E4D">
            <w:t>21.122.132</w:t>
          </w:r>
          <w:r>
            <w:fldChar w:fldCharType="end"/>
          </w:r>
        </w:p>
      </w:tc>
    </w:tr>
    <w:tr w:rsidR="009602CA" w14:paraId="69239E9C" w14:textId="77777777" w:rsidTr="009C1E9A">
      <w:trPr>
        <w:cantSplit/>
      </w:trPr>
      <w:tc>
        <w:tcPr>
          <w:tcW w:w="0" w:type="pct"/>
        </w:tcPr>
        <w:p w14:paraId="2FB34F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CF0748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B2D4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93F4D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02CA" w14:paraId="592FE56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88B8B7" w14:textId="3A014A0E" w:rsidR="00EC379B" w:rsidRDefault="008D48B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D4C85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1623097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D80E7A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D32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E567" w14:textId="77777777" w:rsidR="00000000" w:rsidRDefault="008D48B8">
      <w:r>
        <w:separator/>
      </w:r>
    </w:p>
  </w:footnote>
  <w:footnote w:type="continuationSeparator" w:id="0">
    <w:p w14:paraId="3765C4BC" w14:textId="77777777" w:rsidR="00000000" w:rsidRDefault="008D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313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3D7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2D1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3A8"/>
    <w:multiLevelType w:val="hybridMultilevel"/>
    <w:tmpl w:val="037E65C8"/>
    <w:lvl w:ilvl="0" w:tplc="695E9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82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24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9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68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24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44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48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CE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D37"/>
    <w:multiLevelType w:val="hybridMultilevel"/>
    <w:tmpl w:val="D5E8CA8C"/>
    <w:lvl w:ilvl="0" w:tplc="80467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A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8B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A0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8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21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4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CD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0221"/>
    <w:multiLevelType w:val="hybridMultilevel"/>
    <w:tmpl w:val="D1D46B5C"/>
    <w:lvl w:ilvl="0" w:tplc="4D321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4C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4C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89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63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87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04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0B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42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27955"/>
    <w:multiLevelType w:val="hybridMultilevel"/>
    <w:tmpl w:val="1B528478"/>
    <w:lvl w:ilvl="0" w:tplc="8D60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C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4F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A9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6D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A8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20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60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C1"/>
    <w:rsid w:val="00000A70"/>
    <w:rsid w:val="0000291D"/>
    <w:rsid w:val="000032B8"/>
    <w:rsid w:val="00003B06"/>
    <w:rsid w:val="000054B9"/>
    <w:rsid w:val="00005ACA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802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BD9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F8A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38DC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C61"/>
    <w:rsid w:val="00241EC1"/>
    <w:rsid w:val="002431DA"/>
    <w:rsid w:val="0024691D"/>
    <w:rsid w:val="00247D27"/>
    <w:rsid w:val="00250A50"/>
    <w:rsid w:val="00251ED5"/>
    <w:rsid w:val="00255EB6"/>
    <w:rsid w:val="002563DF"/>
    <w:rsid w:val="00257429"/>
    <w:rsid w:val="00260FA4"/>
    <w:rsid w:val="00261183"/>
    <w:rsid w:val="00262A66"/>
    <w:rsid w:val="00263140"/>
    <w:rsid w:val="002631C8"/>
    <w:rsid w:val="00263DA0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A16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61D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B48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E89"/>
    <w:rsid w:val="004B772A"/>
    <w:rsid w:val="004C302F"/>
    <w:rsid w:val="004C4609"/>
    <w:rsid w:val="004C4B8A"/>
    <w:rsid w:val="004C52EF"/>
    <w:rsid w:val="004C5F34"/>
    <w:rsid w:val="004C600C"/>
    <w:rsid w:val="004C7846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9A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6A4"/>
    <w:rsid w:val="005666D5"/>
    <w:rsid w:val="005669A7"/>
    <w:rsid w:val="00573401"/>
    <w:rsid w:val="00576714"/>
    <w:rsid w:val="0057685A"/>
    <w:rsid w:val="005811E6"/>
    <w:rsid w:val="005847EF"/>
    <w:rsid w:val="005851E6"/>
    <w:rsid w:val="005878B7"/>
    <w:rsid w:val="00592C9A"/>
    <w:rsid w:val="00593DF8"/>
    <w:rsid w:val="00595745"/>
    <w:rsid w:val="005A0E0A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2ED"/>
    <w:rsid w:val="0062143A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7904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100"/>
    <w:rsid w:val="006A36A6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27E9"/>
    <w:rsid w:val="006E30A8"/>
    <w:rsid w:val="006E45B0"/>
    <w:rsid w:val="006E5692"/>
    <w:rsid w:val="006F365D"/>
    <w:rsid w:val="006F4BB0"/>
    <w:rsid w:val="007031BD"/>
    <w:rsid w:val="00703E80"/>
    <w:rsid w:val="00705276"/>
    <w:rsid w:val="00706545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1FF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B05"/>
    <w:rsid w:val="00764786"/>
    <w:rsid w:val="00766E12"/>
    <w:rsid w:val="0076763D"/>
    <w:rsid w:val="0077098E"/>
    <w:rsid w:val="00771287"/>
    <w:rsid w:val="0077149E"/>
    <w:rsid w:val="0077711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38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796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48B8"/>
    <w:rsid w:val="008D58F9"/>
    <w:rsid w:val="008E3338"/>
    <w:rsid w:val="008E3E09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50F8"/>
    <w:rsid w:val="009375BB"/>
    <w:rsid w:val="009418E9"/>
    <w:rsid w:val="009445B2"/>
    <w:rsid w:val="00946044"/>
    <w:rsid w:val="009465AB"/>
    <w:rsid w:val="00946DEE"/>
    <w:rsid w:val="00953499"/>
    <w:rsid w:val="00954A16"/>
    <w:rsid w:val="0095696D"/>
    <w:rsid w:val="009602CA"/>
    <w:rsid w:val="0096482F"/>
    <w:rsid w:val="00964E3A"/>
    <w:rsid w:val="00967126"/>
    <w:rsid w:val="00970EAE"/>
    <w:rsid w:val="00971627"/>
    <w:rsid w:val="00972797"/>
    <w:rsid w:val="0097279D"/>
    <w:rsid w:val="00975305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12D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4C85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64DF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7C1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0FB5"/>
    <w:rsid w:val="00A720DC"/>
    <w:rsid w:val="00A803CF"/>
    <w:rsid w:val="00A8133F"/>
    <w:rsid w:val="00A8250A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31A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551"/>
    <w:rsid w:val="00B73BB4"/>
    <w:rsid w:val="00B80532"/>
    <w:rsid w:val="00B82039"/>
    <w:rsid w:val="00B82454"/>
    <w:rsid w:val="00B86966"/>
    <w:rsid w:val="00B90097"/>
    <w:rsid w:val="00B90999"/>
    <w:rsid w:val="00B91AD7"/>
    <w:rsid w:val="00B92D23"/>
    <w:rsid w:val="00B95BC8"/>
    <w:rsid w:val="00B96E87"/>
    <w:rsid w:val="00BA146A"/>
    <w:rsid w:val="00BA32EE"/>
    <w:rsid w:val="00BA3E3C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06E"/>
    <w:rsid w:val="00BE71CD"/>
    <w:rsid w:val="00BE7748"/>
    <w:rsid w:val="00BE7BDA"/>
    <w:rsid w:val="00BF0548"/>
    <w:rsid w:val="00BF2570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153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071"/>
    <w:rsid w:val="00CF4827"/>
    <w:rsid w:val="00CF4C69"/>
    <w:rsid w:val="00CF581C"/>
    <w:rsid w:val="00CF71E0"/>
    <w:rsid w:val="00D001B1"/>
    <w:rsid w:val="00D02E4D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078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918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22D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660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417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1D89"/>
    <w:rsid w:val="00FD2B04"/>
    <w:rsid w:val="00FE19C5"/>
    <w:rsid w:val="00FE4286"/>
    <w:rsid w:val="00FE48C3"/>
    <w:rsid w:val="00FE4E74"/>
    <w:rsid w:val="00FE5909"/>
    <w:rsid w:val="00FE652E"/>
    <w:rsid w:val="00FE71FE"/>
    <w:rsid w:val="00FE72CF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251F2F-5008-43B1-9B56-E918B017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21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2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21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100"/>
    <w:rPr>
      <w:b/>
      <w:bCs/>
    </w:rPr>
  </w:style>
  <w:style w:type="character" w:styleId="Hyperlink">
    <w:name w:val="Hyperlink"/>
    <w:basedOn w:val="DefaultParagraphFont"/>
    <w:unhideWhenUsed/>
    <w:rsid w:val="005646A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67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4906</Characters>
  <Application>Microsoft Office Word</Application>
  <DocSecurity>4</DocSecurity>
  <Lines>106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HB03906 (Committee Report (Unamended))</vt:lpstr>
    </vt:vector>
  </TitlesOfParts>
  <Company>State of Texas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23725</dc:subject>
  <dc:creator>State of Texas</dc:creator>
  <dc:description>HB 3906 by Goldman-(H)State Affairs</dc:description>
  <cp:lastModifiedBy>Stacey Nicchio</cp:lastModifiedBy>
  <cp:revision>2</cp:revision>
  <cp:lastPrinted>2003-11-26T17:21:00Z</cp:lastPrinted>
  <dcterms:created xsi:type="dcterms:W3CDTF">2021-05-05T20:45:00Z</dcterms:created>
  <dcterms:modified xsi:type="dcterms:W3CDTF">2021-05-05T20:45:00Z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21.122.132</vt:lpwstr>
  </property>
</Properties>
</file>