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B3B39" w14:paraId="432395A3" w14:textId="77777777" w:rsidTr="00345119">
        <w:tc>
          <w:tcPr>
            <w:tcW w:w="9576" w:type="dxa"/>
            <w:noWrap/>
          </w:tcPr>
          <w:p w14:paraId="70CEA883" w14:textId="77777777" w:rsidR="008423E4" w:rsidRPr="0022177D" w:rsidRDefault="00CF4ED9" w:rsidP="0036727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730655B" w14:textId="77777777" w:rsidR="008423E4" w:rsidRPr="0022177D" w:rsidRDefault="008423E4" w:rsidP="00367271">
      <w:pPr>
        <w:jc w:val="center"/>
      </w:pPr>
    </w:p>
    <w:p w14:paraId="26AD376A" w14:textId="77777777" w:rsidR="008423E4" w:rsidRPr="00B31F0E" w:rsidRDefault="008423E4" w:rsidP="00367271"/>
    <w:p w14:paraId="5E33B1CD" w14:textId="77777777" w:rsidR="008423E4" w:rsidRPr="00742794" w:rsidRDefault="008423E4" w:rsidP="0036727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3B39" w14:paraId="22D89AD9" w14:textId="77777777" w:rsidTr="00345119">
        <w:tc>
          <w:tcPr>
            <w:tcW w:w="9576" w:type="dxa"/>
          </w:tcPr>
          <w:p w14:paraId="0038EC94" w14:textId="77777777" w:rsidR="008423E4" w:rsidRPr="00861995" w:rsidRDefault="00CF4ED9" w:rsidP="00367271">
            <w:pPr>
              <w:jc w:val="right"/>
            </w:pPr>
            <w:r>
              <w:t>C.S.H.B. 3951</w:t>
            </w:r>
          </w:p>
        </w:tc>
      </w:tr>
      <w:tr w:rsidR="00AB3B39" w14:paraId="5C739A70" w14:textId="77777777" w:rsidTr="00345119">
        <w:tc>
          <w:tcPr>
            <w:tcW w:w="9576" w:type="dxa"/>
          </w:tcPr>
          <w:p w14:paraId="6AB92955" w14:textId="77777777" w:rsidR="008423E4" w:rsidRPr="00861995" w:rsidRDefault="00CF4ED9" w:rsidP="00367271">
            <w:pPr>
              <w:jc w:val="right"/>
            </w:pPr>
            <w:r>
              <w:t xml:space="preserve">By: </w:t>
            </w:r>
            <w:r w:rsidR="00AD5DD0">
              <w:t>Cortez</w:t>
            </w:r>
          </w:p>
        </w:tc>
      </w:tr>
      <w:tr w:rsidR="00AB3B39" w14:paraId="31E51F84" w14:textId="77777777" w:rsidTr="00345119">
        <w:tc>
          <w:tcPr>
            <w:tcW w:w="9576" w:type="dxa"/>
          </w:tcPr>
          <w:p w14:paraId="59F89E7E" w14:textId="77777777" w:rsidR="008423E4" w:rsidRPr="00861995" w:rsidRDefault="00CF4ED9" w:rsidP="00367271">
            <w:pPr>
              <w:jc w:val="right"/>
            </w:pPr>
            <w:r>
              <w:t>Insurance</w:t>
            </w:r>
          </w:p>
        </w:tc>
      </w:tr>
      <w:tr w:rsidR="00AB3B39" w14:paraId="41FC4534" w14:textId="77777777" w:rsidTr="00345119">
        <w:tc>
          <w:tcPr>
            <w:tcW w:w="9576" w:type="dxa"/>
          </w:tcPr>
          <w:p w14:paraId="3DF6D954" w14:textId="77777777" w:rsidR="008423E4" w:rsidRDefault="00CF4ED9" w:rsidP="00367271">
            <w:pPr>
              <w:jc w:val="right"/>
            </w:pPr>
            <w:r>
              <w:t>Committee Report (Substituted)</w:t>
            </w:r>
          </w:p>
        </w:tc>
      </w:tr>
    </w:tbl>
    <w:p w14:paraId="05F7C5FE" w14:textId="77777777" w:rsidR="008423E4" w:rsidRDefault="008423E4" w:rsidP="00367271">
      <w:pPr>
        <w:tabs>
          <w:tab w:val="right" w:pos="9360"/>
        </w:tabs>
      </w:pPr>
    </w:p>
    <w:p w14:paraId="0D735C8C" w14:textId="77777777" w:rsidR="008423E4" w:rsidRDefault="008423E4" w:rsidP="00367271"/>
    <w:p w14:paraId="1DB20DF9" w14:textId="77777777" w:rsidR="008423E4" w:rsidRDefault="008423E4" w:rsidP="0036727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B3B39" w14:paraId="603B13F5" w14:textId="77777777" w:rsidTr="00345119">
        <w:tc>
          <w:tcPr>
            <w:tcW w:w="9576" w:type="dxa"/>
          </w:tcPr>
          <w:p w14:paraId="52CEDC41" w14:textId="77777777" w:rsidR="008423E4" w:rsidRPr="00A8133F" w:rsidRDefault="00CF4ED9" w:rsidP="003672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E47870" w14:textId="77777777" w:rsidR="008423E4" w:rsidRDefault="008423E4" w:rsidP="00367271"/>
          <w:p w14:paraId="6AA6C01A" w14:textId="77777777" w:rsidR="008423E4" w:rsidRDefault="00CF4ED9" w:rsidP="00367271">
            <w:pPr>
              <w:pStyle w:val="Header"/>
              <w:jc w:val="both"/>
            </w:pPr>
            <w:r>
              <w:t>The American Cancer Society projects that there will be 14,200 new cases of prostate cancer, resulting in 3,320 deaths</w:t>
            </w:r>
            <w:r w:rsidR="0092638F">
              <w:t>,</w:t>
            </w:r>
            <w:r>
              <w:t xml:space="preserve"> in Texas in 2021. </w:t>
            </w:r>
            <w:r w:rsidR="0092638F">
              <w:t>Research indicates that on</w:t>
            </w:r>
            <w:r w:rsidR="00C761A6">
              <w:t xml:space="preserve">e in eight men will be diagnosed with prostate cancer in their lifetime, </w:t>
            </w:r>
            <w:r w:rsidR="0092638F">
              <w:t>a likelihood that</w:t>
            </w:r>
            <w:r w:rsidR="00C761A6">
              <w:t xml:space="preserve"> increase</w:t>
            </w:r>
            <w:r w:rsidR="0092638F">
              <w:t>s</w:t>
            </w:r>
            <w:r w:rsidR="00C761A6">
              <w:t xml:space="preserve"> to one in six </w:t>
            </w:r>
            <w:r w:rsidR="0092638F">
              <w:t>for</w:t>
            </w:r>
            <w:r w:rsidR="00C761A6">
              <w:t xml:space="preserve"> African American </w:t>
            </w:r>
            <w:r w:rsidR="0092638F">
              <w:t xml:space="preserve">men </w:t>
            </w:r>
            <w:r w:rsidR="00C761A6">
              <w:t xml:space="preserve">and one in three </w:t>
            </w:r>
            <w:r w:rsidR="0092638F">
              <w:t xml:space="preserve">for men with </w:t>
            </w:r>
            <w:r>
              <w:t>a family history</w:t>
            </w:r>
            <w:r w:rsidR="0092638F">
              <w:t xml:space="preserve"> of prostate cancer</w:t>
            </w:r>
            <w:r>
              <w:t xml:space="preserve">. </w:t>
            </w:r>
            <w:r w:rsidR="004320D6">
              <w:t>I</w:t>
            </w:r>
            <w:r w:rsidR="00417465">
              <w:t xml:space="preserve">t has been reported that targeting men with </w:t>
            </w:r>
            <w:r w:rsidR="0092638F">
              <w:t xml:space="preserve">higher </w:t>
            </w:r>
            <w:r w:rsidR="00417465">
              <w:t>risk factors for prostate cancer</w:t>
            </w:r>
            <w:r w:rsidR="001424F2">
              <w:t>, including veterans and active service members,</w:t>
            </w:r>
            <w:r w:rsidR="00417465">
              <w:t xml:space="preserve"> can reduce health</w:t>
            </w:r>
            <w:r w:rsidR="0092638F">
              <w:t xml:space="preserve"> outcome</w:t>
            </w:r>
            <w:r w:rsidR="00417465">
              <w:t xml:space="preserve"> disparities in the populations most impacted by the disease. </w:t>
            </w:r>
            <w:r w:rsidR="001424F2">
              <w:t xml:space="preserve">However, the cost of preventive </w:t>
            </w:r>
            <w:r w:rsidR="00417465">
              <w:t>screening se</w:t>
            </w:r>
            <w:r w:rsidR="0092638F">
              <w:t>rvices may deter or prevent men</w:t>
            </w:r>
            <w:r w:rsidR="00417465">
              <w:t xml:space="preserve"> from </w:t>
            </w:r>
            <w:r w:rsidR="0092638F">
              <w:t xml:space="preserve">the </w:t>
            </w:r>
            <w:r w:rsidR="001424F2">
              <w:t xml:space="preserve">early </w:t>
            </w:r>
            <w:r w:rsidR="0092638F">
              <w:t xml:space="preserve">detection of </w:t>
            </w:r>
            <w:r w:rsidR="00417465">
              <w:t>prostate cancer</w:t>
            </w:r>
            <w:r w:rsidR="001424F2">
              <w:t xml:space="preserve">. </w:t>
            </w:r>
            <w:r w:rsidR="007716C0">
              <w:t>C</w:t>
            </w:r>
            <w:r w:rsidR="00417465">
              <w:t>.</w:t>
            </w:r>
            <w:r w:rsidR="007716C0">
              <w:t>S</w:t>
            </w:r>
            <w:r w:rsidR="00417465">
              <w:t>.</w:t>
            </w:r>
            <w:r w:rsidR="001935D2">
              <w:t>H</w:t>
            </w:r>
            <w:r w:rsidR="00417465">
              <w:t>.</w:t>
            </w:r>
            <w:r w:rsidR="001935D2">
              <w:t>B</w:t>
            </w:r>
            <w:r w:rsidR="00417465">
              <w:t>.</w:t>
            </w:r>
            <w:r w:rsidR="001935D2">
              <w:t xml:space="preserve"> 3951 </w:t>
            </w:r>
            <w:r w:rsidR="00372325">
              <w:t>seeks to</w:t>
            </w:r>
            <w:r w:rsidR="001424F2">
              <w:t xml:space="preserve"> eliminate screening barriers and maximize early detection of cancer</w:t>
            </w:r>
            <w:r w:rsidR="00372325">
              <w:t xml:space="preserve"> by</w:t>
            </w:r>
            <w:r w:rsidR="001935D2">
              <w:t xml:space="preserve"> prohibit</w:t>
            </w:r>
            <w:r w:rsidR="00372325">
              <w:t>ing</w:t>
            </w:r>
            <w:r w:rsidR="001935D2">
              <w:t xml:space="preserve"> a health </w:t>
            </w:r>
            <w:r w:rsidR="00350DD4">
              <w:t>benefit plan</w:t>
            </w:r>
            <w:r w:rsidR="001935D2">
              <w:t xml:space="preserve"> from charging a</w:t>
            </w:r>
            <w:r w:rsidR="00350DD4">
              <w:t xml:space="preserve">ny form of cost sharing </w:t>
            </w:r>
            <w:r w:rsidR="001935D2">
              <w:t xml:space="preserve">for </w:t>
            </w:r>
            <w:r w:rsidR="00350DD4">
              <w:t xml:space="preserve">certain </w:t>
            </w:r>
            <w:r w:rsidR="001935D2">
              <w:t>prostate cancer screening</w:t>
            </w:r>
            <w:r w:rsidR="00350DD4">
              <w:t>s</w:t>
            </w:r>
            <w:r w:rsidR="001935D2">
              <w:t xml:space="preserve">. </w:t>
            </w:r>
          </w:p>
          <w:p w14:paraId="11BECFEB" w14:textId="644FF63F" w:rsidR="0053462B" w:rsidRPr="00E26B13" w:rsidRDefault="0053462B" w:rsidP="00367271">
            <w:pPr>
              <w:pStyle w:val="Header"/>
              <w:jc w:val="both"/>
              <w:rPr>
                <w:b/>
              </w:rPr>
            </w:pPr>
          </w:p>
        </w:tc>
      </w:tr>
      <w:tr w:rsidR="00AB3B39" w14:paraId="23906E4A" w14:textId="77777777" w:rsidTr="00345119">
        <w:tc>
          <w:tcPr>
            <w:tcW w:w="9576" w:type="dxa"/>
          </w:tcPr>
          <w:p w14:paraId="55797C13" w14:textId="77777777" w:rsidR="0017725B" w:rsidRDefault="00CF4ED9" w:rsidP="003672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099D3CC" w14:textId="77777777" w:rsidR="0017725B" w:rsidRDefault="0017725B" w:rsidP="00367271">
            <w:pPr>
              <w:rPr>
                <w:b/>
                <w:u w:val="single"/>
              </w:rPr>
            </w:pPr>
          </w:p>
          <w:p w14:paraId="185F0C5C" w14:textId="77777777" w:rsidR="001935D2" w:rsidRPr="001935D2" w:rsidRDefault="00CF4ED9" w:rsidP="0036727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1169D155" w14:textId="77777777" w:rsidR="0017725B" w:rsidRPr="0017725B" w:rsidRDefault="0017725B" w:rsidP="00367271">
            <w:pPr>
              <w:rPr>
                <w:b/>
                <w:u w:val="single"/>
              </w:rPr>
            </w:pPr>
          </w:p>
        </w:tc>
      </w:tr>
      <w:tr w:rsidR="00AB3B39" w14:paraId="35F8B126" w14:textId="77777777" w:rsidTr="00345119">
        <w:tc>
          <w:tcPr>
            <w:tcW w:w="9576" w:type="dxa"/>
          </w:tcPr>
          <w:p w14:paraId="76E3E080" w14:textId="77777777" w:rsidR="008423E4" w:rsidRPr="00A8133F" w:rsidRDefault="00CF4ED9" w:rsidP="003672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28839E" w14:textId="77777777" w:rsidR="008423E4" w:rsidRDefault="008423E4" w:rsidP="00367271"/>
          <w:p w14:paraId="704DF446" w14:textId="77777777" w:rsidR="001935D2" w:rsidRDefault="00CF4ED9" w:rsidP="003672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9A12440" w14:textId="77777777" w:rsidR="008423E4" w:rsidRPr="00E21FDC" w:rsidRDefault="008423E4" w:rsidP="00367271">
            <w:pPr>
              <w:rPr>
                <w:b/>
              </w:rPr>
            </w:pPr>
          </w:p>
        </w:tc>
      </w:tr>
      <w:tr w:rsidR="00AB3B39" w14:paraId="565E66DF" w14:textId="77777777" w:rsidTr="00345119">
        <w:tc>
          <w:tcPr>
            <w:tcW w:w="9576" w:type="dxa"/>
          </w:tcPr>
          <w:p w14:paraId="20B0C910" w14:textId="77777777" w:rsidR="008423E4" w:rsidRPr="00A8133F" w:rsidRDefault="00CF4ED9" w:rsidP="003672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1E1E84" w14:textId="77777777" w:rsidR="008423E4" w:rsidRDefault="008423E4" w:rsidP="00367271"/>
          <w:p w14:paraId="3AE3AFE8" w14:textId="47C155C3" w:rsidR="005F547B" w:rsidRDefault="00CF4ED9" w:rsidP="003672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3951 amends the Insurance Code to </w:t>
            </w:r>
            <w:r w:rsidR="00057C8D">
              <w:t>prohibit</w:t>
            </w:r>
            <w:r>
              <w:t xml:space="preserve"> a health benefit plan that provides coverage for certain tests for detection of prostate cancer from charging any premium, copayment, coinsurance, deductible, or any other form of cost sharing for a cove</w:t>
            </w:r>
            <w:r>
              <w:t xml:space="preserve">red </w:t>
            </w:r>
            <w:r w:rsidR="00EB2856">
              <w:t xml:space="preserve">benefit described by </w:t>
            </w:r>
            <w:r w:rsidR="00057C8D">
              <w:t>statutory</w:t>
            </w:r>
            <w:r w:rsidR="00EB2856">
              <w:t xml:space="preserve"> provisions relating to required coverage for</w:t>
            </w:r>
            <w:r w:rsidR="00E87D80">
              <w:t xml:space="preserve"> a prostate-specific antigen test for certain males</w:t>
            </w:r>
            <w:r w:rsidR="00EB2856">
              <w:t xml:space="preserve"> </w:t>
            </w:r>
            <w:r w:rsidR="00E87D80">
              <w:t xml:space="preserve">and a </w:t>
            </w:r>
            <w:r w:rsidR="00EB2856">
              <w:t>physical examination for the detection of prostate</w:t>
            </w:r>
            <w:r w:rsidR="00471BC6">
              <w:t xml:space="preserve"> cancer</w:t>
            </w:r>
            <w:r w:rsidR="00E87D80">
              <w:t>.</w:t>
            </w:r>
            <w:r w:rsidR="00EB2856">
              <w:t xml:space="preserve"> </w:t>
            </w:r>
            <w:r>
              <w:t xml:space="preserve">The bill </w:t>
            </w:r>
            <w:r w:rsidR="00060226">
              <w:t xml:space="preserve">revises the applicability of this coverage requirement, including making the requirement apply to </w:t>
            </w:r>
            <w:r w:rsidR="008845AC">
              <w:t>a small employer health benefit plan written under the Health Insurance Portability and Availability Act.</w:t>
            </w:r>
            <w:r>
              <w:t xml:space="preserve"> </w:t>
            </w:r>
          </w:p>
          <w:p w14:paraId="4B6B2C0B" w14:textId="77777777" w:rsidR="005F547B" w:rsidRDefault="005F547B" w:rsidP="003672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3D5538" w14:textId="115B59B2" w:rsidR="00B5113F" w:rsidRDefault="00CF4ED9" w:rsidP="003672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3951 establishes that t</w:t>
            </w:r>
            <w:r w:rsidR="00B153D3">
              <w:t>his requirement does not apply to a qualified health plan if a determination is made under</w:t>
            </w:r>
            <w:r w:rsidR="00D6443A">
              <w:t xml:space="preserve"> the</w:t>
            </w:r>
            <w:r w:rsidR="00B153D3">
              <w:t xml:space="preserve"> federal </w:t>
            </w:r>
            <w:r w:rsidR="00D6443A">
              <w:t>A</w:t>
            </w:r>
            <w:r w:rsidR="00B153D3">
              <w:t>ffordable Care Act that</w:t>
            </w:r>
            <w:r w:rsidR="005F547B">
              <w:t xml:space="preserve"> </w:t>
            </w:r>
            <w:r w:rsidR="00B153D3">
              <w:t xml:space="preserve">the plan </w:t>
            </w:r>
            <w:r w:rsidR="00D6443A">
              <w:t>must</w:t>
            </w:r>
            <w:r w:rsidR="00B153D3">
              <w:t xml:space="preserve"> offer benefits in addition to the essential health benefits required under federal law and</w:t>
            </w:r>
            <w:r w:rsidR="005F547B">
              <w:t xml:space="preserve"> that </w:t>
            </w:r>
            <w:r w:rsidR="00B153D3">
              <w:t xml:space="preserve">Texas is required to defray the cost of the benefits mandated under </w:t>
            </w:r>
            <w:r w:rsidR="00D6443A">
              <w:t>the federal Affordable Care Act</w:t>
            </w:r>
            <w:r w:rsidR="00B153D3">
              <w:t>.</w:t>
            </w:r>
            <w:r w:rsidR="00014035">
              <w:t xml:space="preserve"> If such a determination is made, t</w:t>
            </w:r>
            <w:r>
              <w:t>he bill's provisions do not apply to a non-qualified health plan if the non-qualified health plan is offered in the same market as the qualified health plan</w:t>
            </w:r>
            <w:r w:rsidR="00014035">
              <w:t>.</w:t>
            </w:r>
          </w:p>
          <w:p w14:paraId="6EBCE3EF" w14:textId="77777777" w:rsidR="00C90F2E" w:rsidRDefault="00C90F2E" w:rsidP="003672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F813106" w14:textId="615BF2C8" w:rsidR="000E5FB3" w:rsidRDefault="00CF4ED9" w:rsidP="003672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</w:t>
            </w:r>
            <w:r>
              <w:t xml:space="preserve">951 </w:t>
            </w:r>
            <w:r w:rsidR="008845AC">
              <w:t>requires</w:t>
            </w:r>
            <w:r w:rsidR="00F45DCA">
              <w:t xml:space="preserve"> a state agency affected by a provision in the bill</w:t>
            </w:r>
            <w:r w:rsidR="008845AC">
              <w:t>, i</w:t>
            </w:r>
            <w:r w:rsidR="007338AA" w:rsidRPr="007338AA">
              <w:t xml:space="preserve">f before implementing a provision </w:t>
            </w:r>
            <w:r w:rsidR="00F45DCA">
              <w:t>the</w:t>
            </w:r>
            <w:r w:rsidR="007338AA" w:rsidRPr="007338AA">
              <w:t xml:space="preserve"> agency determines that a waiver or authorization from a federal agency is necessary for implementation of that provision, </w:t>
            </w:r>
            <w:r w:rsidR="00F45DCA">
              <w:t xml:space="preserve">to </w:t>
            </w:r>
            <w:r w:rsidR="007338AA" w:rsidRPr="007338AA">
              <w:t xml:space="preserve">request the waiver or authorization and </w:t>
            </w:r>
            <w:r w:rsidR="00F45DCA">
              <w:t>authorizes the agency to</w:t>
            </w:r>
            <w:r w:rsidR="00F45DCA" w:rsidRPr="007338AA">
              <w:t xml:space="preserve"> </w:t>
            </w:r>
            <w:r w:rsidR="007338AA" w:rsidRPr="007338AA">
              <w:t>delay implementing that provision until the waiver or authorization is granted</w:t>
            </w:r>
            <w:r w:rsidR="007338AA">
              <w:t xml:space="preserve">. The bill applies </w:t>
            </w:r>
            <w:r w:rsidR="007338AA" w:rsidRPr="007338AA">
              <w:t>only to a health benefit plan delivered, issued for delivery, or renewed on or after January 1, 2022</w:t>
            </w:r>
            <w:r w:rsidR="007338AA">
              <w:t>.</w:t>
            </w:r>
          </w:p>
          <w:p w14:paraId="7A428DEA" w14:textId="77777777" w:rsidR="000E5FB3" w:rsidRDefault="000E5FB3" w:rsidP="003672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64B48EF" w14:textId="3A750F1B" w:rsidR="00A00040" w:rsidRPr="009C36CD" w:rsidRDefault="00CF4ED9" w:rsidP="003672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3951 repe</w:t>
            </w:r>
            <w:r>
              <w:t>als Section 1575.159, Insurance Code</w:t>
            </w:r>
            <w:r w:rsidR="007338AA">
              <w:t>.</w:t>
            </w:r>
          </w:p>
          <w:p w14:paraId="7139EDA2" w14:textId="77777777" w:rsidR="008423E4" w:rsidRPr="00835628" w:rsidRDefault="008423E4" w:rsidP="00367271">
            <w:pPr>
              <w:rPr>
                <w:b/>
              </w:rPr>
            </w:pPr>
          </w:p>
        </w:tc>
      </w:tr>
      <w:tr w:rsidR="00AB3B39" w14:paraId="1EF454D8" w14:textId="77777777" w:rsidTr="00345119">
        <w:tc>
          <w:tcPr>
            <w:tcW w:w="9576" w:type="dxa"/>
          </w:tcPr>
          <w:p w14:paraId="7E9D5F23" w14:textId="77777777" w:rsidR="008423E4" w:rsidRPr="00A8133F" w:rsidRDefault="00CF4ED9" w:rsidP="003672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657B1A8" w14:textId="77777777" w:rsidR="008423E4" w:rsidRDefault="008423E4" w:rsidP="00367271"/>
          <w:p w14:paraId="1D476242" w14:textId="77777777" w:rsidR="008423E4" w:rsidRPr="003624F2" w:rsidRDefault="00CF4ED9" w:rsidP="003672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6914AED" w14:textId="77777777" w:rsidR="008423E4" w:rsidRPr="00233FDB" w:rsidRDefault="008423E4" w:rsidP="00367271">
            <w:pPr>
              <w:rPr>
                <w:b/>
              </w:rPr>
            </w:pPr>
          </w:p>
        </w:tc>
      </w:tr>
      <w:tr w:rsidR="00AB3B39" w14:paraId="26FE14BB" w14:textId="77777777" w:rsidTr="00345119">
        <w:tc>
          <w:tcPr>
            <w:tcW w:w="9576" w:type="dxa"/>
          </w:tcPr>
          <w:p w14:paraId="1E67A7C8" w14:textId="77777777" w:rsidR="00AD5DD0" w:rsidRDefault="00CF4ED9" w:rsidP="0036727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99C57CF" w14:textId="77777777" w:rsidR="007338AA" w:rsidRDefault="007338AA" w:rsidP="00367271">
            <w:pPr>
              <w:jc w:val="both"/>
            </w:pPr>
          </w:p>
          <w:p w14:paraId="4DE163DC" w14:textId="77777777" w:rsidR="007338AA" w:rsidRDefault="00CF4ED9" w:rsidP="00367271">
            <w:pPr>
              <w:jc w:val="both"/>
            </w:pPr>
            <w:r>
              <w:t>While C.S.H.B. 3951 may differ from the original in minor or nonsubstantive ways, the following summarizes the substantial differences betw</w:t>
            </w:r>
            <w:r>
              <w:t>een the introduced and committee substitute versions of the bill.</w:t>
            </w:r>
          </w:p>
          <w:p w14:paraId="393732D1" w14:textId="77777777" w:rsidR="00F76E85" w:rsidRDefault="00F76E85" w:rsidP="00367271">
            <w:pPr>
              <w:jc w:val="both"/>
            </w:pPr>
          </w:p>
          <w:p w14:paraId="02D51FEE" w14:textId="17F62878" w:rsidR="00F76E85" w:rsidRDefault="00CF4ED9" w:rsidP="00367271">
            <w:pPr>
              <w:jc w:val="both"/>
            </w:pPr>
            <w:r>
              <w:t xml:space="preserve">The substitute </w:t>
            </w:r>
            <w:r w:rsidR="007E11A0">
              <w:t>does not include</w:t>
            </w:r>
            <w:r>
              <w:t xml:space="preserve"> a provision in the original making provisions related to requiring certain tests for the detection of prostate cancer applicable to county</w:t>
            </w:r>
            <w:r>
              <w:t xml:space="preserve"> employee group health benefits. </w:t>
            </w:r>
          </w:p>
          <w:p w14:paraId="365E15C6" w14:textId="77777777" w:rsidR="00F76E85" w:rsidRDefault="00F76E85" w:rsidP="00367271">
            <w:pPr>
              <w:jc w:val="both"/>
            </w:pPr>
          </w:p>
          <w:p w14:paraId="5347EBF5" w14:textId="7A0ED52D" w:rsidR="003F2F53" w:rsidRDefault="00CF4ED9" w:rsidP="00367271">
            <w:pPr>
              <w:jc w:val="both"/>
            </w:pPr>
            <w:r>
              <w:t>The substitute include</w:t>
            </w:r>
            <w:r w:rsidR="00F03DF6">
              <w:t>s</w:t>
            </w:r>
            <w:r w:rsidR="00021951">
              <w:t xml:space="preserve"> a</w:t>
            </w:r>
            <w:r>
              <w:t xml:space="preserve"> provision not in the original establishing that the bill's </w:t>
            </w:r>
            <w:r w:rsidRPr="003F2F53">
              <w:t>provisions do not apply to a non-qualified health plan if th</w:t>
            </w:r>
            <w:r w:rsidR="006E1A8D">
              <w:t>at</w:t>
            </w:r>
            <w:r w:rsidRPr="003F2F53">
              <w:t xml:space="preserve"> health plan is o</w:t>
            </w:r>
            <w:r>
              <w:t>ffered in the same market as a</w:t>
            </w:r>
            <w:r w:rsidRPr="003F2F53">
              <w:t xml:space="preserve"> qualified health plan</w:t>
            </w:r>
            <w:r>
              <w:t xml:space="preserve"> </w:t>
            </w:r>
            <w:r w:rsidR="00F76E85">
              <w:t>and</w:t>
            </w:r>
            <w:r>
              <w:t xml:space="preserve"> </w:t>
            </w:r>
            <w:r>
              <w:t>a determination is made under federal regulations that</w:t>
            </w:r>
            <w:r w:rsidR="00F76E85">
              <w:t xml:space="preserve"> results in the inapplicability of the qualified health plan.</w:t>
            </w:r>
          </w:p>
          <w:p w14:paraId="0933E5A8" w14:textId="77777777" w:rsidR="007338AA" w:rsidRPr="007338AA" w:rsidRDefault="007338AA" w:rsidP="00367271">
            <w:pPr>
              <w:jc w:val="both"/>
            </w:pPr>
          </w:p>
        </w:tc>
      </w:tr>
      <w:tr w:rsidR="00AB3B39" w14:paraId="260F0F3F" w14:textId="77777777" w:rsidTr="00345119">
        <w:tc>
          <w:tcPr>
            <w:tcW w:w="9576" w:type="dxa"/>
          </w:tcPr>
          <w:p w14:paraId="7C6E1456" w14:textId="77777777" w:rsidR="00AD5DD0" w:rsidRPr="009C1E9A" w:rsidRDefault="00AD5DD0" w:rsidP="00367271">
            <w:pPr>
              <w:rPr>
                <w:b/>
                <w:u w:val="single"/>
              </w:rPr>
            </w:pPr>
          </w:p>
        </w:tc>
      </w:tr>
      <w:tr w:rsidR="00AB3B39" w14:paraId="6D1014B2" w14:textId="77777777" w:rsidTr="00345119">
        <w:tc>
          <w:tcPr>
            <w:tcW w:w="9576" w:type="dxa"/>
          </w:tcPr>
          <w:p w14:paraId="2AC89BDC" w14:textId="77777777" w:rsidR="00AD5DD0" w:rsidRPr="00AD5DD0" w:rsidRDefault="00AD5DD0" w:rsidP="00367271">
            <w:pPr>
              <w:jc w:val="both"/>
            </w:pPr>
          </w:p>
        </w:tc>
      </w:tr>
    </w:tbl>
    <w:p w14:paraId="1CF6DF56" w14:textId="77777777" w:rsidR="008423E4" w:rsidRPr="00BE0E75" w:rsidRDefault="008423E4" w:rsidP="00367271">
      <w:pPr>
        <w:jc w:val="both"/>
        <w:rPr>
          <w:rFonts w:ascii="Arial" w:hAnsi="Arial"/>
          <w:sz w:val="16"/>
          <w:szCs w:val="16"/>
        </w:rPr>
      </w:pPr>
    </w:p>
    <w:p w14:paraId="45E2A4A8" w14:textId="77777777" w:rsidR="004108C3" w:rsidRPr="008423E4" w:rsidRDefault="004108C3" w:rsidP="0036727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50BF" w14:textId="77777777" w:rsidR="00000000" w:rsidRDefault="00CF4ED9">
      <w:r>
        <w:separator/>
      </w:r>
    </w:p>
  </w:endnote>
  <w:endnote w:type="continuationSeparator" w:id="0">
    <w:p w14:paraId="7AA209B1" w14:textId="77777777" w:rsidR="00000000" w:rsidRDefault="00CF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B60F" w14:textId="77777777" w:rsidR="00F03DF6" w:rsidRDefault="00F03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3B39" w14:paraId="5B443699" w14:textId="77777777" w:rsidTr="009C1E9A">
      <w:trPr>
        <w:cantSplit/>
      </w:trPr>
      <w:tc>
        <w:tcPr>
          <w:tcW w:w="0" w:type="pct"/>
        </w:tcPr>
        <w:p w14:paraId="222B86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E652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F23A9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BF4C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0E70F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3B39" w14:paraId="582133F2" w14:textId="77777777" w:rsidTr="009C1E9A">
      <w:trPr>
        <w:cantSplit/>
      </w:trPr>
      <w:tc>
        <w:tcPr>
          <w:tcW w:w="0" w:type="pct"/>
        </w:tcPr>
        <w:p w14:paraId="62EF7C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76CADA" w14:textId="77777777" w:rsidR="00EC379B" w:rsidRPr="009C1E9A" w:rsidRDefault="00CF4E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23928</w:t>
          </w:r>
        </w:p>
      </w:tc>
      <w:tc>
        <w:tcPr>
          <w:tcW w:w="2453" w:type="pct"/>
        </w:tcPr>
        <w:p w14:paraId="2050D5A7" w14:textId="2B332653" w:rsidR="00EC379B" w:rsidRDefault="00CF4E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57427">
            <w:t>21.123.488</w:t>
          </w:r>
          <w:r>
            <w:fldChar w:fldCharType="end"/>
          </w:r>
        </w:p>
      </w:tc>
    </w:tr>
    <w:tr w:rsidR="00AB3B39" w14:paraId="384FC44B" w14:textId="77777777" w:rsidTr="009C1E9A">
      <w:trPr>
        <w:cantSplit/>
      </w:trPr>
      <w:tc>
        <w:tcPr>
          <w:tcW w:w="0" w:type="pct"/>
        </w:tcPr>
        <w:p w14:paraId="0CD2A14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78317BD" w14:textId="77777777" w:rsidR="00EC379B" w:rsidRPr="009C1E9A" w:rsidRDefault="00CF4E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21565</w:t>
          </w:r>
        </w:p>
      </w:tc>
      <w:tc>
        <w:tcPr>
          <w:tcW w:w="2453" w:type="pct"/>
        </w:tcPr>
        <w:p w14:paraId="4B325E7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65DD2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3B39" w14:paraId="34BE2DC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72A31FB" w14:textId="39F51BE9" w:rsidR="00EC379B" w:rsidRDefault="00CF4E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6727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8CC67F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EEEEF1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C873" w14:textId="77777777" w:rsidR="00F03DF6" w:rsidRDefault="00F03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35311" w14:textId="77777777" w:rsidR="00000000" w:rsidRDefault="00CF4ED9">
      <w:r>
        <w:separator/>
      </w:r>
    </w:p>
  </w:footnote>
  <w:footnote w:type="continuationSeparator" w:id="0">
    <w:p w14:paraId="06EADA5C" w14:textId="77777777" w:rsidR="00000000" w:rsidRDefault="00CF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CAF2" w14:textId="77777777" w:rsidR="00F03DF6" w:rsidRDefault="00F03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BA47" w14:textId="77777777" w:rsidR="00F03DF6" w:rsidRDefault="00F03D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01B6C" w14:textId="77777777" w:rsidR="00F03DF6" w:rsidRDefault="00F03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D49"/>
    <w:multiLevelType w:val="hybridMultilevel"/>
    <w:tmpl w:val="D52EBE6C"/>
    <w:lvl w:ilvl="0" w:tplc="F0522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C2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67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2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0D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0D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2A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29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1A9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446E"/>
    <w:multiLevelType w:val="hybridMultilevel"/>
    <w:tmpl w:val="F4D0592A"/>
    <w:lvl w:ilvl="0" w:tplc="8516F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EC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D00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46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CE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82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67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EE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86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310E"/>
    <w:multiLevelType w:val="hybridMultilevel"/>
    <w:tmpl w:val="53B25130"/>
    <w:lvl w:ilvl="0" w:tplc="96DE4AF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5A8AB8B2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B50F6FC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CEC4CF30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9BA070E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0384B0A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7F2BDB2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E49E431C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E3E6A184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035"/>
    <w:rsid w:val="00014AF0"/>
    <w:rsid w:val="000155D6"/>
    <w:rsid w:val="00015D4E"/>
    <w:rsid w:val="00020C1E"/>
    <w:rsid w:val="00020E9B"/>
    <w:rsid w:val="00021951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C8D"/>
    <w:rsid w:val="00060226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5FB3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4F2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5D2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859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1F6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DD4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271"/>
    <w:rsid w:val="00370155"/>
    <w:rsid w:val="003712D5"/>
    <w:rsid w:val="0037232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2F53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65"/>
    <w:rsid w:val="004174CD"/>
    <w:rsid w:val="004241AA"/>
    <w:rsid w:val="0042422E"/>
    <w:rsid w:val="0043190E"/>
    <w:rsid w:val="004320D6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427"/>
    <w:rsid w:val="00461B69"/>
    <w:rsid w:val="00462B3D"/>
    <w:rsid w:val="00471BC6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61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62B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47B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D2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A8D"/>
    <w:rsid w:val="006E1CFB"/>
    <w:rsid w:val="006E1F94"/>
    <w:rsid w:val="006E26C1"/>
    <w:rsid w:val="006E30A8"/>
    <w:rsid w:val="006E45B0"/>
    <w:rsid w:val="006E5692"/>
    <w:rsid w:val="006F365D"/>
    <w:rsid w:val="006F4BB0"/>
    <w:rsid w:val="006F7F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772"/>
    <w:rsid w:val="00731DE3"/>
    <w:rsid w:val="007338AA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16C0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1A0"/>
    <w:rsid w:val="007E33B6"/>
    <w:rsid w:val="007E59E8"/>
    <w:rsid w:val="007E63CD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F48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AC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38F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657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040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B39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DD0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3D3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13F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3A8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1A6"/>
    <w:rsid w:val="00C7669F"/>
    <w:rsid w:val="00C76DFF"/>
    <w:rsid w:val="00C80B8F"/>
    <w:rsid w:val="00C82743"/>
    <w:rsid w:val="00C834CE"/>
    <w:rsid w:val="00C9047F"/>
    <w:rsid w:val="00C90F2E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233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4ED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4E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43A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8D9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87D80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2856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3DF6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5DCA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E85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2090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D6A332-8CFE-4E22-9FB0-7A4748ED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53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3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3D3"/>
    <w:rPr>
      <w:b/>
      <w:bCs/>
    </w:rPr>
  </w:style>
  <w:style w:type="paragraph" w:styleId="Revision">
    <w:name w:val="Revision"/>
    <w:hidden/>
    <w:uiPriority w:val="99"/>
    <w:semiHidden/>
    <w:rsid w:val="00B153D3"/>
    <w:rPr>
      <w:sz w:val="24"/>
      <w:szCs w:val="24"/>
    </w:rPr>
  </w:style>
  <w:style w:type="character" w:styleId="Hyperlink">
    <w:name w:val="Hyperlink"/>
    <w:basedOn w:val="DefaultParagraphFont"/>
    <w:unhideWhenUsed/>
    <w:rsid w:val="00B153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F5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37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3480</Characters>
  <Application>Microsoft Office Word</Application>
  <DocSecurity>4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HB03951 (Committee Report (Substituted))</vt:lpstr>
    </vt:vector>
  </TitlesOfParts>
  <Company>State of Texas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23928</dc:subject>
  <dc:creator>State of Texas</dc:creator>
  <dc:description>HB 3951 by Cortez-(H)Insurance (Substitute Document Number: 87R 21565)</dc:description>
  <cp:lastModifiedBy>Stacey Nicchio</cp:lastModifiedBy>
  <cp:revision>2</cp:revision>
  <cp:lastPrinted>2003-11-26T17:21:00Z</cp:lastPrinted>
  <dcterms:created xsi:type="dcterms:W3CDTF">2021-05-03T20:54:00Z</dcterms:created>
  <dcterms:modified xsi:type="dcterms:W3CDTF">2021-05-03T20:54:00Z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21.123.488</vt:lpwstr>
  </property>
</Properties>
</file>