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37E40" w14:paraId="55225D78" w14:textId="77777777" w:rsidTr="00345119">
        <w:tc>
          <w:tcPr>
            <w:tcW w:w="9576" w:type="dxa"/>
            <w:noWrap/>
          </w:tcPr>
          <w:p w14:paraId="2E2B7B35" w14:textId="77777777" w:rsidR="008423E4" w:rsidRPr="0022177D" w:rsidRDefault="002111DB" w:rsidP="008101ED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268ADCC" w14:textId="77777777" w:rsidR="008423E4" w:rsidRPr="0022177D" w:rsidRDefault="008423E4" w:rsidP="008101ED">
      <w:pPr>
        <w:jc w:val="center"/>
      </w:pPr>
    </w:p>
    <w:p w14:paraId="24E01F7C" w14:textId="77777777" w:rsidR="008423E4" w:rsidRPr="00B31F0E" w:rsidRDefault="008423E4" w:rsidP="008101ED"/>
    <w:p w14:paraId="4524B09D" w14:textId="77777777" w:rsidR="008423E4" w:rsidRPr="00742794" w:rsidRDefault="008423E4" w:rsidP="008101E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37E40" w14:paraId="0BA8C6F7" w14:textId="77777777" w:rsidTr="00345119">
        <w:tc>
          <w:tcPr>
            <w:tcW w:w="9576" w:type="dxa"/>
          </w:tcPr>
          <w:p w14:paraId="2B984556" w14:textId="77777777" w:rsidR="008423E4" w:rsidRPr="00861995" w:rsidRDefault="002111DB" w:rsidP="008101ED">
            <w:pPr>
              <w:jc w:val="right"/>
            </w:pPr>
            <w:r>
              <w:t>C.S.H.B. 3969</w:t>
            </w:r>
          </w:p>
        </w:tc>
      </w:tr>
      <w:tr w:rsidR="00D37E40" w14:paraId="5C0D90BF" w14:textId="77777777" w:rsidTr="00345119">
        <w:tc>
          <w:tcPr>
            <w:tcW w:w="9576" w:type="dxa"/>
          </w:tcPr>
          <w:p w14:paraId="64E5B996" w14:textId="77777777" w:rsidR="008423E4" w:rsidRPr="00861995" w:rsidRDefault="002111DB" w:rsidP="008101ED">
            <w:pPr>
              <w:jc w:val="right"/>
            </w:pPr>
            <w:r>
              <w:t xml:space="preserve">By: </w:t>
            </w:r>
            <w:r w:rsidR="004A43DD">
              <w:t>Sanford</w:t>
            </w:r>
          </w:p>
        </w:tc>
      </w:tr>
      <w:tr w:rsidR="00D37E40" w14:paraId="5F7F14C9" w14:textId="77777777" w:rsidTr="00345119">
        <w:tc>
          <w:tcPr>
            <w:tcW w:w="9576" w:type="dxa"/>
          </w:tcPr>
          <w:p w14:paraId="0F76E6C0" w14:textId="77777777" w:rsidR="008423E4" w:rsidRPr="00861995" w:rsidRDefault="002111DB" w:rsidP="008101ED">
            <w:pPr>
              <w:jc w:val="right"/>
            </w:pPr>
            <w:r>
              <w:t>Insurance</w:t>
            </w:r>
          </w:p>
        </w:tc>
      </w:tr>
      <w:tr w:rsidR="00D37E40" w14:paraId="16F5E9A0" w14:textId="77777777" w:rsidTr="00345119">
        <w:tc>
          <w:tcPr>
            <w:tcW w:w="9576" w:type="dxa"/>
          </w:tcPr>
          <w:p w14:paraId="294D5656" w14:textId="77777777" w:rsidR="008423E4" w:rsidRDefault="002111DB" w:rsidP="008101ED">
            <w:pPr>
              <w:jc w:val="right"/>
            </w:pPr>
            <w:r>
              <w:t>Committee Report (Substituted)</w:t>
            </w:r>
          </w:p>
        </w:tc>
      </w:tr>
    </w:tbl>
    <w:p w14:paraId="7310646E" w14:textId="77777777" w:rsidR="008423E4" w:rsidRDefault="008423E4" w:rsidP="008101ED">
      <w:pPr>
        <w:tabs>
          <w:tab w:val="right" w:pos="9360"/>
        </w:tabs>
      </w:pPr>
    </w:p>
    <w:p w14:paraId="56E9D0D6" w14:textId="77777777" w:rsidR="008423E4" w:rsidRDefault="008423E4" w:rsidP="008101ED"/>
    <w:p w14:paraId="62FD8BC4" w14:textId="77777777" w:rsidR="008423E4" w:rsidRDefault="008423E4" w:rsidP="008101E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37E40" w14:paraId="1CDE9CE9" w14:textId="77777777" w:rsidTr="004812AF">
        <w:tc>
          <w:tcPr>
            <w:tcW w:w="9360" w:type="dxa"/>
          </w:tcPr>
          <w:p w14:paraId="33E7B8DE" w14:textId="77777777" w:rsidR="008423E4" w:rsidRPr="00A8133F" w:rsidRDefault="002111DB" w:rsidP="008101E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BABEE3E" w14:textId="77777777" w:rsidR="008423E4" w:rsidRDefault="008423E4" w:rsidP="008101ED"/>
          <w:p w14:paraId="13573DD1" w14:textId="695F01A7" w:rsidR="008423E4" w:rsidRDefault="002111DB" w:rsidP="008101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certain </w:t>
            </w:r>
            <w:r w:rsidR="004A43DD">
              <w:t xml:space="preserve">Insurance Code </w:t>
            </w:r>
            <w:r>
              <w:t>provisions offer</w:t>
            </w:r>
            <w:r w:rsidR="004A43DD">
              <w:t xml:space="preserve"> advantages for one type of insurer over another. </w:t>
            </w:r>
            <w:r w:rsidR="00F93E9B">
              <w:t>There are concerns t</w:t>
            </w:r>
            <w:r w:rsidR="004A43DD">
              <w:t>hese provisions</w:t>
            </w:r>
            <w:r w:rsidR="00F93E9B">
              <w:t xml:space="preserve"> </w:t>
            </w:r>
            <w:r w:rsidR="004A43DD">
              <w:t xml:space="preserve">create an </w:t>
            </w:r>
            <w:r w:rsidR="00916E96">
              <w:t xml:space="preserve">uneven </w:t>
            </w:r>
            <w:r w:rsidR="004A43DD">
              <w:t>playing field among competing insurers</w:t>
            </w:r>
            <w:r w:rsidR="00F93E9B">
              <w:t xml:space="preserve">, </w:t>
            </w:r>
            <w:r w:rsidR="004A43DD">
              <w:t>increas</w:t>
            </w:r>
            <w:r w:rsidR="00F93E9B">
              <w:t>ing</w:t>
            </w:r>
            <w:r w:rsidR="004A43DD">
              <w:t xml:space="preserve"> the cost of insurance for consumers and creat</w:t>
            </w:r>
            <w:r w:rsidR="00F93E9B">
              <w:t>ing</w:t>
            </w:r>
            <w:r w:rsidR="004A43DD">
              <w:t xml:space="preserve"> a barrier to entry for new market participants. C</w:t>
            </w:r>
            <w:r>
              <w:t>.</w:t>
            </w:r>
            <w:r w:rsidR="004A43DD">
              <w:t>S</w:t>
            </w:r>
            <w:r>
              <w:t>.</w:t>
            </w:r>
            <w:r w:rsidR="004A43DD">
              <w:t>H</w:t>
            </w:r>
            <w:r>
              <w:t>.</w:t>
            </w:r>
            <w:r w:rsidR="004A43DD">
              <w:t>B</w:t>
            </w:r>
            <w:r>
              <w:t>.</w:t>
            </w:r>
            <w:r w:rsidR="004A43DD">
              <w:t xml:space="preserve"> 3969</w:t>
            </w:r>
            <w:r>
              <w:t xml:space="preserve"> seeks to level the playing field by authorizing</w:t>
            </w:r>
            <w:r w:rsidR="004A43DD">
              <w:t xml:space="preserve"> any insurer to file and implement a rating variable that another insurer has already filed and implemented consistent with current insurance rate filing laws.</w:t>
            </w:r>
          </w:p>
          <w:p w14:paraId="14EB2B08" w14:textId="77777777" w:rsidR="008423E4" w:rsidRPr="00E26B13" w:rsidRDefault="008423E4" w:rsidP="008101ED">
            <w:pPr>
              <w:rPr>
                <w:b/>
              </w:rPr>
            </w:pPr>
          </w:p>
        </w:tc>
      </w:tr>
      <w:tr w:rsidR="00D37E40" w14:paraId="59613918" w14:textId="77777777" w:rsidTr="004812AF">
        <w:tc>
          <w:tcPr>
            <w:tcW w:w="9360" w:type="dxa"/>
          </w:tcPr>
          <w:p w14:paraId="233669AB" w14:textId="77777777" w:rsidR="0017725B" w:rsidRDefault="002111DB" w:rsidP="008101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80827C" w14:textId="77777777" w:rsidR="0017725B" w:rsidRDefault="0017725B" w:rsidP="008101ED">
            <w:pPr>
              <w:rPr>
                <w:b/>
                <w:u w:val="single"/>
              </w:rPr>
            </w:pPr>
          </w:p>
          <w:p w14:paraId="521AC62F" w14:textId="77777777" w:rsidR="004A43DD" w:rsidRPr="004A43DD" w:rsidRDefault="002111DB" w:rsidP="008101ED">
            <w:pPr>
              <w:jc w:val="both"/>
            </w:pPr>
            <w:r>
              <w:t>It is the committee's opinion that this bill does not expressly create a criminal o</w:t>
            </w:r>
            <w:r>
              <w:t>ffense, increase the punishment for an existing criminal offense or category of offenses, or change the eligibility of a person for community supervision, parole, or mandatory supervision.</w:t>
            </w:r>
          </w:p>
          <w:p w14:paraId="6831CBB8" w14:textId="77777777" w:rsidR="0017725B" w:rsidRPr="0017725B" w:rsidRDefault="0017725B" w:rsidP="008101ED">
            <w:pPr>
              <w:rPr>
                <w:b/>
                <w:u w:val="single"/>
              </w:rPr>
            </w:pPr>
          </w:p>
        </w:tc>
      </w:tr>
      <w:tr w:rsidR="00D37E40" w14:paraId="3B4B2A92" w14:textId="77777777" w:rsidTr="004812AF">
        <w:tc>
          <w:tcPr>
            <w:tcW w:w="9360" w:type="dxa"/>
          </w:tcPr>
          <w:p w14:paraId="01D8331A" w14:textId="77777777" w:rsidR="008423E4" w:rsidRPr="00A8133F" w:rsidRDefault="002111DB" w:rsidP="008101E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2D16B4" w14:textId="77777777" w:rsidR="008423E4" w:rsidRDefault="008423E4" w:rsidP="008101ED"/>
          <w:p w14:paraId="02CCE252" w14:textId="77777777" w:rsidR="004A43DD" w:rsidRDefault="002111DB" w:rsidP="008101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bill does not expressly grant any additional rulemaking authority to a state officer, department, agency, or institution.</w:t>
            </w:r>
          </w:p>
          <w:p w14:paraId="09130FA0" w14:textId="77777777" w:rsidR="008423E4" w:rsidRPr="00E21FDC" w:rsidRDefault="008423E4" w:rsidP="008101ED">
            <w:pPr>
              <w:rPr>
                <w:b/>
              </w:rPr>
            </w:pPr>
          </w:p>
        </w:tc>
      </w:tr>
      <w:tr w:rsidR="00D37E40" w14:paraId="6E788B6A" w14:textId="77777777" w:rsidTr="004812AF">
        <w:tc>
          <w:tcPr>
            <w:tcW w:w="9360" w:type="dxa"/>
          </w:tcPr>
          <w:p w14:paraId="4DACEB69" w14:textId="77777777" w:rsidR="008423E4" w:rsidRPr="00A8133F" w:rsidRDefault="002111DB" w:rsidP="008101E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DCFF787" w14:textId="77777777" w:rsidR="008423E4" w:rsidRDefault="008423E4" w:rsidP="008101ED"/>
          <w:p w14:paraId="2E57F4D3" w14:textId="7CCF59C0" w:rsidR="009C36CD" w:rsidRDefault="002111DB" w:rsidP="008101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A43DD">
              <w:t xml:space="preserve">H.B. 3969 amends the Insurance Code to authorize an insurer </w:t>
            </w:r>
            <w:r w:rsidR="00CD03E9">
              <w:t>writing personal or commercial automobile insurance</w:t>
            </w:r>
            <w:r w:rsidR="003B56BD">
              <w:t>, in setting rates,</w:t>
            </w:r>
            <w:r w:rsidR="00CD03E9">
              <w:t xml:space="preserve"> </w:t>
            </w:r>
            <w:r w:rsidR="004A43DD">
              <w:t xml:space="preserve">to include in a filing made under statutory provisions relating to rates for property and casualty insurance any rating rule, rate variable, or rate classification that </w:t>
            </w:r>
            <w:r w:rsidR="00CD03E9">
              <w:t xml:space="preserve">a county mutual insurance company </w:t>
            </w:r>
            <w:r w:rsidR="004A43DD">
              <w:t>has filed and implemented under those provisions.</w:t>
            </w:r>
            <w:r w:rsidR="00CD03E9">
              <w:t xml:space="preserve"> The bill requires an insurer that files a rating rule, rate variable, or rate classification to do the following:</w:t>
            </w:r>
          </w:p>
          <w:p w14:paraId="25B29CBC" w14:textId="30A0561A" w:rsidR="00CD03E9" w:rsidRDefault="002111DB" w:rsidP="008101E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indicate in the insurer's rate filing that the insurer is filing the rating rule, rate variable, or rate classification; and</w:t>
            </w:r>
          </w:p>
          <w:p w14:paraId="0326905A" w14:textId="3E567454" w:rsidR="00CD03E9" w:rsidRDefault="002111DB" w:rsidP="008101E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refle</w:t>
            </w:r>
            <w:r>
              <w:t>ct any cost savings realized by filing the rating rule, rate variable, or rate classification in the insurer's filing.</w:t>
            </w:r>
          </w:p>
          <w:p w14:paraId="15B9A0F2" w14:textId="28A4C2CD" w:rsidR="00CD03E9" w:rsidRPr="009C36CD" w:rsidRDefault="002111DB" w:rsidP="008101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These provisions may not be construed to affect any law relating to the confidentiality or public disclosure</w:t>
            </w:r>
            <w:r w:rsidR="002A0C94">
              <w:t xml:space="preserve"> of</w:t>
            </w:r>
            <w:r>
              <w:t xml:space="preserve"> rate filings or of </w:t>
            </w:r>
            <w:r w:rsidR="002A0C94">
              <w:t xml:space="preserve">a review by the </w:t>
            </w:r>
            <w:r>
              <w:t>Texas Department of Insurance of rate filings.</w:t>
            </w:r>
          </w:p>
          <w:p w14:paraId="7F580303" w14:textId="77777777" w:rsidR="008423E4" w:rsidRPr="00835628" w:rsidRDefault="008423E4" w:rsidP="008101ED">
            <w:pPr>
              <w:rPr>
                <w:b/>
              </w:rPr>
            </w:pPr>
          </w:p>
        </w:tc>
      </w:tr>
      <w:tr w:rsidR="00D37E40" w14:paraId="0108FAFB" w14:textId="77777777" w:rsidTr="004812AF">
        <w:tc>
          <w:tcPr>
            <w:tcW w:w="9360" w:type="dxa"/>
          </w:tcPr>
          <w:p w14:paraId="21894F21" w14:textId="77777777" w:rsidR="008423E4" w:rsidRPr="00A8133F" w:rsidRDefault="002111DB" w:rsidP="008101E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AD74F0" w14:textId="77777777" w:rsidR="008423E4" w:rsidRDefault="008423E4" w:rsidP="008101ED"/>
          <w:p w14:paraId="386BEDC2" w14:textId="77777777" w:rsidR="008423E4" w:rsidRPr="003624F2" w:rsidRDefault="002111DB" w:rsidP="008101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1F8D0BC3" w14:textId="77777777" w:rsidR="008423E4" w:rsidRPr="00233FDB" w:rsidRDefault="008423E4" w:rsidP="008101ED">
            <w:pPr>
              <w:rPr>
                <w:b/>
              </w:rPr>
            </w:pPr>
          </w:p>
        </w:tc>
      </w:tr>
      <w:tr w:rsidR="00D37E40" w14:paraId="4441A206" w14:textId="77777777" w:rsidTr="004812AF">
        <w:tc>
          <w:tcPr>
            <w:tcW w:w="9360" w:type="dxa"/>
          </w:tcPr>
          <w:p w14:paraId="50911911" w14:textId="77777777" w:rsidR="004A43DD" w:rsidRDefault="002111DB" w:rsidP="008101E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6657F072" w14:textId="77777777" w:rsidR="00CD03E9" w:rsidRDefault="00CD03E9" w:rsidP="008101ED">
            <w:pPr>
              <w:jc w:val="both"/>
            </w:pPr>
          </w:p>
          <w:p w14:paraId="2FC697F2" w14:textId="77777777" w:rsidR="002A0C94" w:rsidRDefault="002111DB" w:rsidP="008101ED">
            <w:pPr>
              <w:jc w:val="both"/>
            </w:pPr>
            <w:r>
              <w:t xml:space="preserve">While C.S.H.B. 3969 may differ from the original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233838D0" w14:textId="77777777" w:rsidR="002A0C94" w:rsidRDefault="002A0C94" w:rsidP="008101ED">
            <w:pPr>
              <w:jc w:val="both"/>
            </w:pPr>
          </w:p>
          <w:p w14:paraId="1A1151AB" w14:textId="5BF8741D" w:rsidR="00CD03E9" w:rsidRDefault="002111DB" w:rsidP="008101ED">
            <w:pPr>
              <w:jc w:val="both"/>
            </w:pPr>
            <w:r>
              <w:t xml:space="preserve">The </w:t>
            </w:r>
            <w:r w:rsidR="002826EB">
              <w:t xml:space="preserve">original authorized an insurer to include in a filing any rating rule, rate variable, or rate classification that any other insurer has filed and implemented, whereas the </w:t>
            </w:r>
            <w:r>
              <w:t xml:space="preserve">substitute </w:t>
            </w:r>
            <w:r w:rsidR="002826EB">
              <w:t>authorizes an insurer writing personal or commercial automobile insurance to include in a filing any rating rule, rate variable, or rate classification that a county mutual insurance company has filed and implemented.</w:t>
            </w:r>
          </w:p>
          <w:p w14:paraId="78A57704" w14:textId="2F7F8AEB" w:rsidR="00732B77" w:rsidRDefault="00732B77" w:rsidP="008101ED">
            <w:pPr>
              <w:jc w:val="both"/>
            </w:pPr>
          </w:p>
          <w:p w14:paraId="6599AC53" w14:textId="2DD833D1" w:rsidR="00B11A67" w:rsidRDefault="002111DB" w:rsidP="008101ED">
            <w:pPr>
              <w:jc w:val="both"/>
            </w:pPr>
            <w:r>
              <w:t>The substitu</w:t>
            </w:r>
            <w:r>
              <w:t xml:space="preserve">te includes </w:t>
            </w:r>
            <w:r w:rsidR="00D9472B">
              <w:t xml:space="preserve">an authorization </w:t>
            </w:r>
            <w:r w:rsidR="00614F2B">
              <w:t>not in</w:t>
            </w:r>
            <w:r w:rsidR="00D9472B">
              <w:t xml:space="preserve"> the original for </w:t>
            </w:r>
            <w:r>
              <w:t>an insurer that files a rating rule, rate variable, or rate classification to do the following:</w:t>
            </w:r>
          </w:p>
          <w:p w14:paraId="49841F75" w14:textId="77777777" w:rsidR="00732B77" w:rsidRDefault="002111DB" w:rsidP="008101ED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indicate in the insurer's rate filing that the insurer is filing the rating rule, rate variable, or rate </w:t>
            </w:r>
            <w:r>
              <w:t>classification; and</w:t>
            </w:r>
          </w:p>
          <w:p w14:paraId="6CB79D66" w14:textId="77777777" w:rsidR="00732B77" w:rsidRDefault="002111DB" w:rsidP="008101ED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reflect any cost savings realized by filing the rating rule, rate variable, or rate classification in the insurer's filing.</w:t>
            </w:r>
          </w:p>
          <w:p w14:paraId="1F7B39E1" w14:textId="77777777" w:rsidR="00B11A67" w:rsidRDefault="00B11A67" w:rsidP="008101ED">
            <w:pPr>
              <w:jc w:val="both"/>
            </w:pPr>
          </w:p>
          <w:p w14:paraId="460080F1" w14:textId="0E9A5C2B" w:rsidR="00732B77" w:rsidRDefault="002111DB" w:rsidP="008101ED">
            <w:pPr>
              <w:jc w:val="both"/>
            </w:pPr>
            <w:r>
              <w:t xml:space="preserve">The substitute includes a provision </w:t>
            </w:r>
            <w:r w:rsidR="00614F2B">
              <w:t>not in</w:t>
            </w:r>
            <w:r>
              <w:t xml:space="preserve"> the original prohibiting the bill's provisions from being construed </w:t>
            </w:r>
            <w:r>
              <w:t>to affect any law relating to the confidentiality or public disclosure</w:t>
            </w:r>
            <w:r w:rsidR="008F18B1">
              <w:t xml:space="preserve"> of</w:t>
            </w:r>
            <w:r>
              <w:t xml:space="preserve"> rate filings or of a review by the Texas Department of Insurance of rate filings.</w:t>
            </w:r>
          </w:p>
          <w:p w14:paraId="4A01CE8B" w14:textId="7CED561F" w:rsidR="00092A53" w:rsidRDefault="00092A53" w:rsidP="008101ED">
            <w:pPr>
              <w:jc w:val="both"/>
            </w:pPr>
          </w:p>
          <w:p w14:paraId="380DDD78" w14:textId="361B5E53" w:rsidR="00092A53" w:rsidRDefault="002111DB" w:rsidP="008101ED">
            <w:pPr>
              <w:jc w:val="both"/>
            </w:pPr>
            <w:r>
              <w:t xml:space="preserve">The substitute includes a caption change. </w:t>
            </w:r>
          </w:p>
          <w:p w14:paraId="697B8F9E" w14:textId="2B97D7B9" w:rsidR="00CD03E9" w:rsidRPr="00CD03E9" w:rsidRDefault="00CD03E9" w:rsidP="008101ED">
            <w:pPr>
              <w:jc w:val="both"/>
            </w:pPr>
          </w:p>
        </w:tc>
      </w:tr>
    </w:tbl>
    <w:p w14:paraId="6251B2CC" w14:textId="77777777" w:rsidR="008423E4" w:rsidRPr="00BE0E75" w:rsidRDefault="008423E4" w:rsidP="008101ED">
      <w:pPr>
        <w:jc w:val="both"/>
        <w:rPr>
          <w:rFonts w:ascii="Arial" w:hAnsi="Arial"/>
          <w:sz w:val="16"/>
          <w:szCs w:val="16"/>
        </w:rPr>
      </w:pPr>
    </w:p>
    <w:p w14:paraId="73451A37" w14:textId="77777777" w:rsidR="004108C3" w:rsidRPr="008423E4" w:rsidRDefault="004108C3" w:rsidP="008101E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A5D02" w14:textId="77777777" w:rsidR="00000000" w:rsidRDefault="002111DB">
      <w:r>
        <w:separator/>
      </w:r>
    </w:p>
  </w:endnote>
  <w:endnote w:type="continuationSeparator" w:id="0">
    <w:p w14:paraId="63BBE635" w14:textId="77777777" w:rsidR="00000000" w:rsidRDefault="0021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2BC7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37E40" w14:paraId="206DB8B5" w14:textId="77777777" w:rsidTr="009C1E9A">
      <w:trPr>
        <w:cantSplit/>
      </w:trPr>
      <w:tc>
        <w:tcPr>
          <w:tcW w:w="0" w:type="pct"/>
        </w:tcPr>
        <w:p w14:paraId="46BD23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03EE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DE946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F108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E83C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7E40" w14:paraId="0F621454" w14:textId="77777777" w:rsidTr="009C1E9A">
      <w:trPr>
        <w:cantSplit/>
      </w:trPr>
      <w:tc>
        <w:tcPr>
          <w:tcW w:w="0" w:type="pct"/>
        </w:tcPr>
        <w:p w14:paraId="2C53C0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FEC407" w14:textId="77777777" w:rsidR="00EC379B" w:rsidRPr="009C1E9A" w:rsidRDefault="002111D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23927</w:t>
          </w:r>
        </w:p>
      </w:tc>
      <w:tc>
        <w:tcPr>
          <w:tcW w:w="2453" w:type="pct"/>
        </w:tcPr>
        <w:p w14:paraId="7FB2F4B1" w14:textId="2D76DDC2" w:rsidR="00EC379B" w:rsidRDefault="002111D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C6B5E">
            <w:t>21.123.700</w:t>
          </w:r>
          <w:r>
            <w:fldChar w:fldCharType="end"/>
          </w:r>
        </w:p>
      </w:tc>
    </w:tr>
    <w:tr w:rsidR="00D37E40" w14:paraId="2785857F" w14:textId="77777777" w:rsidTr="009C1E9A">
      <w:trPr>
        <w:cantSplit/>
      </w:trPr>
      <w:tc>
        <w:tcPr>
          <w:tcW w:w="0" w:type="pct"/>
        </w:tcPr>
        <w:p w14:paraId="40B28EE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209965" w14:textId="77777777" w:rsidR="00EC379B" w:rsidRPr="009C1E9A" w:rsidRDefault="002111D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20449</w:t>
          </w:r>
        </w:p>
      </w:tc>
      <w:tc>
        <w:tcPr>
          <w:tcW w:w="2453" w:type="pct"/>
        </w:tcPr>
        <w:p w14:paraId="06A985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08633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7E40" w14:paraId="7423505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5F1408" w14:textId="44B0D945" w:rsidR="00EC379B" w:rsidRDefault="002111D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C6B5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29047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9CD26B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B6E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644C" w14:textId="77777777" w:rsidR="00000000" w:rsidRDefault="002111DB">
      <w:r>
        <w:separator/>
      </w:r>
    </w:p>
  </w:footnote>
  <w:footnote w:type="continuationSeparator" w:id="0">
    <w:p w14:paraId="22580663" w14:textId="77777777" w:rsidR="00000000" w:rsidRDefault="0021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EA5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7B7A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24664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5477"/>
    <w:multiLevelType w:val="hybridMultilevel"/>
    <w:tmpl w:val="62F60A3C"/>
    <w:lvl w:ilvl="0" w:tplc="04E42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0F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64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A0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A0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E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EE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E1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5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402C"/>
    <w:multiLevelType w:val="hybridMultilevel"/>
    <w:tmpl w:val="2D0803E2"/>
    <w:lvl w:ilvl="0" w:tplc="F5904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06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25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A2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6F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EB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67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45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15ADE"/>
    <w:multiLevelType w:val="hybridMultilevel"/>
    <w:tmpl w:val="9D8C7DF6"/>
    <w:lvl w:ilvl="0" w:tplc="A9C81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1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24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00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AB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8A3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06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4D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A1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D4CA2"/>
    <w:multiLevelType w:val="hybridMultilevel"/>
    <w:tmpl w:val="4E2C5AD0"/>
    <w:lvl w:ilvl="0" w:tplc="05D2C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46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89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6F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29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28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AC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C2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81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D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53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2B6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1DB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6EB"/>
    <w:rsid w:val="002874E3"/>
    <w:rsid w:val="00287656"/>
    <w:rsid w:val="00291518"/>
    <w:rsid w:val="00296FF0"/>
    <w:rsid w:val="002A0C94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6BD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B76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12AF"/>
    <w:rsid w:val="004824A7"/>
    <w:rsid w:val="00483120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43D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4F2B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B5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B77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01ED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8B1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E96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A67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5D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3E9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A90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37E40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2B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E9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42918A-A739-487C-8B01-51702F9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A43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43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3E9"/>
    <w:rPr>
      <w:b/>
      <w:bCs/>
    </w:rPr>
  </w:style>
  <w:style w:type="paragraph" w:styleId="Revision">
    <w:name w:val="Revision"/>
    <w:hidden/>
    <w:uiPriority w:val="99"/>
    <w:semiHidden/>
    <w:rsid w:val="00CD03E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2951</Characters>
  <Application>Microsoft Office Word</Application>
  <DocSecurity>4</DocSecurity>
  <Lines>76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HB03969 (Committee Report (Substituted))</vt:lpstr>
    </vt:vector>
  </TitlesOfParts>
  <Company>State of Texas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23927</dc:subject>
  <dc:creator>State of Texas</dc:creator>
  <dc:description>HB 3969 by Sanford-(H)Insurance (Substitute Document Number: 87R 20449)</dc:description>
  <cp:lastModifiedBy>Lauren Bustamante</cp:lastModifiedBy>
  <cp:revision>2</cp:revision>
  <cp:lastPrinted>2003-11-26T17:21:00Z</cp:lastPrinted>
  <dcterms:created xsi:type="dcterms:W3CDTF">2021-05-04T23:23:00Z</dcterms:created>
  <dcterms:modified xsi:type="dcterms:W3CDTF">2021-05-04T23:23:00Z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21.123.700</vt:lpwstr>
  </property>
</Properties>
</file>