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1757" w14:paraId="55190474" w14:textId="77777777" w:rsidTr="00345119">
        <w:tc>
          <w:tcPr>
            <w:tcW w:w="9576" w:type="dxa"/>
            <w:noWrap/>
          </w:tcPr>
          <w:p w14:paraId="7E4C6DB0" w14:textId="77777777" w:rsidR="008423E4" w:rsidRPr="0022177D" w:rsidRDefault="00F56156" w:rsidP="00A94A8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CCB85F" w14:textId="77777777" w:rsidR="008423E4" w:rsidRPr="0022177D" w:rsidRDefault="008423E4" w:rsidP="00A94A86">
      <w:pPr>
        <w:jc w:val="center"/>
      </w:pPr>
    </w:p>
    <w:p w14:paraId="37C9F35F" w14:textId="77777777" w:rsidR="008423E4" w:rsidRPr="00B31F0E" w:rsidRDefault="008423E4" w:rsidP="00A94A86"/>
    <w:p w14:paraId="598A5BB3" w14:textId="77777777" w:rsidR="008423E4" w:rsidRPr="00742794" w:rsidRDefault="008423E4" w:rsidP="00A94A8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1757" w14:paraId="387C30F2" w14:textId="77777777" w:rsidTr="00345119">
        <w:tc>
          <w:tcPr>
            <w:tcW w:w="9576" w:type="dxa"/>
          </w:tcPr>
          <w:p w14:paraId="2BECDA37" w14:textId="0BC59924" w:rsidR="008423E4" w:rsidRPr="00861995" w:rsidRDefault="00F56156" w:rsidP="00A94A86">
            <w:pPr>
              <w:jc w:val="right"/>
            </w:pPr>
            <w:r>
              <w:t>C.S.H.B. 4016</w:t>
            </w:r>
          </w:p>
        </w:tc>
      </w:tr>
      <w:tr w:rsidR="001F1757" w14:paraId="1C47390F" w14:textId="77777777" w:rsidTr="00345119">
        <w:tc>
          <w:tcPr>
            <w:tcW w:w="9576" w:type="dxa"/>
          </w:tcPr>
          <w:p w14:paraId="0F6E79E6" w14:textId="1839B49B" w:rsidR="008423E4" w:rsidRPr="00861995" w:rsidRDefault="00F56156" w:rsidP="00A94A86">
            <w:pPr>
              <w:jc w:val="right"/>
            </w:pPr>
            <w:r>
              <w:t xml:space="preserve">By: </w:t>
            </w:r>
            <w:r w:rsidR="000054F7">
              <w:t>Kuempel</w:t>
            </w:r>
          </w:p>
        </w:tc>
      </w:tr>
      <w:tr w:rsidR="001F1757" w14:paraId="7A28C2A2" w14:textId="77777777" w:rsidTr="00345119">
        <w:tc>
          <w:tcPr>
            <w:tcW w:w="9576" w:type="dxa"/>
          </w:tcPr>
          <w:p w14:paraId="7364B961" w14:textId="5B4C7A97" w:rsidR="008423E4" w:rsidRPr="00861995" w:rsidRDefault="00F56156" w:rsidP="00A94A86">
            <w:pPr>
              <w:jc w:val="right"/>
            </w:pPr>
            <w:r>
              <w:t>Licensing &amp; Administrative Procedures</w:t>
            </w:r>
          </w:p>
        </w:tc>
      </w:tr>
      <w:tr w:rsidR="001F1757" w14:paraId="3F248A6B" w14:textId="77777777" w:rsidTr="00345119">
        <w:tc>
          <w:tcPr>
            <w:tcW w:w="9576" w:type="dxa"/>
          </w:tcPr>
          <w:p w14:paraId="08BFBF8F" w14:textId="640C41BF" w:rsidR="008423E4" w:rsidRDefault="00F56156" w:rsidP="00A94A86">
            <w:pPr>
              <w:jc w:val="right"/>
            </w:pPr>
            <w:r>
              <w:t>Committee Report (Substituted)</w:t>
            </w:r>
          </w:p>
        </w:tc>
      </w:tr>
    </w:tbl>
    <w:p w14:paraId="77DF10EC" w14:textId="77777777" w:rsidR="008423E4" w:rsidRDefault="008423E4" w:rsidP="00A94A86">
      <w:pPr>
        <w:tabs>
          <w:tab w:val="right" w:pos="9360"/>
        </w:tabs>
      </w:pPr>
    </w:p>
    <w:p w14:paraId="439916B6" w14:textId="77777777" w:rsidR="008423E4" w:rsidRDefault="008423E4" w:rsidP="00A94A86"/>
    <w:p w14:paraId="63090A06" w14:textId="77777777" w:rsidR="008423E4" w:rsidRDefault="008423E4" w:rsidP="00A94A8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1757" w14:paraId="0457819A" w14:textId="77777777" w:rsidTr="00345119">
        <w:tc>
          <w:tcPr>
            <w:tcW w:w="9576" w:type="dxa"/>
          </w:tcPr>
          <w:p w14:paraId="6CD27413" w14:textId="77777777" w:rsidR="008423E4" w:rsidRPr="00A8133F" w:rsidRDefault="00F56156" w:rsidP="00A9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BBEC52" w14:textId="77777777" w:rsidR="008423E4" w:rsidRDefault="008423E4" w:rsidP="00A94A86"/>
          <w:p w14:paraId="2465E387" w14:textId="6DE51D68" w:rsidR="008423E4" w:rsidRDefault="00F56156" w:rsidP="00A94A86">
            <w:pPr>
              <w:pStyle w:val="Header"/>
              <w:jc w:val="both"/>
            </w:pPr>
            <w:r>
              <w:t xml:space="preserve">The distilled spirits industry is a relatively new industry </w:t>
            </w:r>
            <w:r w:rsidR="008307E5">
              <w:t>in Texas but</w:t>
            </w:r>
            <w:r>
              <w:t xml:space="preserve"> has seen incredible growth over the past decade. From 1997 to 2008, there were only 8 distillers in Texas. In 2013, when distilleries obtained the right to sell bottle</w:t>
            </w:r>
            <w:r w:rsidR="00B4448D">
              <w:t>d products</w:t>
            </w:r>
            <w:r>
              <w:t xml:space="preserve"> at their distilleries, there were 49 distillery permits in Texas. Today, ther</w:t>
            </w:r>
            <w:r>
              <w:t>e are 170 distiller</w:t>
            </w:r>
            <w:r w:rsidR="0038393E">
              <w:t>'</w:t>
            </w:r>
            <w:r>
              <w:t xml:space="preserve">s </w:t>
            </w:r>
            <w:r w:rsidR="008307E5">
              <w:t>and</w:t>
            </w:r>
            <w:r>
              <w:t xml:space="preserve"> rectifier</w:t>
            </w:r>
            <w:r w:rsidR="0038393E">
              <w:t>'</w:t>
            </w:r>
            <w:r>
              <w:t>s permits. Because of the growth in the industry and the increased market competition, distillers are increasingly focused on creating appealing packaging and minimizing costs by increasing economies of scale. Many disti</w:t>
            </w:r>
            <w:r>
              <w:t xml:space="preserve">llers would like to accomplish these goals by </w:t>
            </w:r>
            <w:r w:rsidR="00B4448D">
              <w:t xml:space="preserve">means of contract distilling, </w:t>
            </w:r>
            <w:r>
              <w:t xml:space="preserve">a practice </w:t>
            </w:r>
            <w:r w:rsidR="00B4448D">
              <w:t xml:space="preserve">in which </w:t>
            </w:r>
            <w:r>
              <w:t>two or more distilleries contract together to share costs for packaging equipment, thus allowing them to save money on equipment and to afford more premium pack</w:t>
            </w:r>
            <w:r>
              <w:t xml:space="preserve">aging. Currently, </w:t>
            </w:r>
            <w:r w:rsidR="008307E5">
              <w:t>state law</w:t>
            </w:r>
            <w:r>
              <w:t xml:space="preserve"> allow</w:t>
            </w:r>
            <w:r w:rsidR="008307E5">
              <w:t>s</w:t>
            </w:r>
            <w:r>
              <w:t xml:space="preserve"> both wineries and breweries to utilize </w:t>
            </w:r>
            <w:r w:rsidR="00B4448D">
              <w:t xml:space="preserve">similar </w:t>
            </w:r>
            <w:r>
              <w:t>practice</w:t>
            </w:r>
            <w:r w:rsidR="00B4448D">
              <w:t>s</w:t>
            </w:r>
            <w:r>
              <w:t xml:space="preserve"> in their manufacturing processes. C</w:t>
            </w:r>
            <w:r w:rsidR="008307E5">
              <w:t>.</w:t>
            </w:r>
            <w:r>
              <w:t>S</w:t>
            </w:r>
            <w:r w:rsidR="008307E5">
              <w:t>.</w:t>
            </w:r>
            <w:r>
              <w:t>H</w:t>
            </w:r>
            <w:r w:rsidR="008307E5">
              <w:t>.</w:t>
            </w:r>
            <w:r>
              <w:t>B</w:t>
            </w:r>
            <w:r w:rsidR="008307E5">
              <w:t>. </w:t>
            </w:r>
            <w:r>
              <w:t xml:space="preserve">4016 </w:t>
            </w:r>
            <w:r w:rsidR="008307E5">
              <w:t xml:space="preserve">seeks to </w:t>
            </w:r>
            <w:r w:rsidR="00753C9F">
              <w:t>allow Texas distilleries to incorporate contract distilling into their business operations</w:t>
            </w:r>
            <w:r>
              <w:t xml:space="preserve">. </w:t>
            </w:r>
          </w:p>
          <w:p w14:paraId="73D66E6F" w14:textId="77777777" w:rsidR="008423E4" w:rsidRPr="00E26B13" w:rsidRDefault="008423E4" w:rsidP="00A94A86">
            <w:pPr>
              <w:rPr>
                <w:b/>
              </w:rPr>
            </w:pPr>
          </w:p>
        </w:tc>
      </w:tr>
      <w:tr w:rsidR="001F1757" w14:paraId="259E2BFC" w14:textId="77777777" w:rsidTr="00345119">
        <w:tc>
          <w:tcPr>
            <w:tcW w:w="9576" w:type="dxa"/>
          </w:tcPr>
          <w:p w14:paraId="2C13AC5D" w14:textId="77777777" w:rsidR="0017725B" w:rsidRDefault="00F56156" w:rsidP="00A94A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14:paraId="09C84734" w14:textId="77777777" w:rsidR="0017725B" w:rsidRDefault="0017725B" w:rsidP="00A94A86">
            <w:pPr>
              <w:rPr>
                <w:b/>
                <w:u w:val="single"/>
              </w:rPr>
            </w:pPr>
          </w:p>
          <w:p w14:paraId="4E2D5C05" w14:textId="108DA995" w:rsidR="00D8368C" w:rsidRPr="00D8368C" w:rsidRDefault="00F56156" w:rsidP="00A94A8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7DA10733" w14:textId="77777777" w:rsidR="0017725B" w:rsidRPr="0017725B" w:rsidRDefault="0017725B" w:rsidP="00A94A86">
            <w:pPr>
              <w:rPr>
                <w:b/>
                <w:u w:val="single"/>
              </w:rPr>
            </w:pPr>
          </w:p>
        </w:tc>
      </w:tr>
      <w:tr w:rsidR="001F1757" w14:paraId="2A9D3F2D" w14:textId="77777777" w:rsidTr="00345119">
        <w:tc>
          <w:tcPr>
            <w:tcW w:w="9576" w:type="dxa"/>
          </w:tcPr>
          <w:p w14:paraId="400A3126" w14:textId="77777777" w:rsidR="008423E4" w:rsidRPr="00A8133F" w:rsidRDefault="00F56156" w:rsidP="00A9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20C4709" w14:textId="77777777" w:rsidR="008423E4" w:rsidRDefault="008423E4" w:rsidP="00A94A86"/>
          <w:p w14:paraId="0C0E0202" w14:textId="77777777" w:rsidR="00EA13DE" w:rsidRDefault="00F56156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A13DE">
              <w:t>Texas Alcoholic Beverage Commission</w:t>
            </w:r>
            <w:r>
              <w:t xml:space="preserve"> in SECTIONS 1 and 2 of this bill.</w:t>
            </w:r>
          </w:p>
          <w:p w14:paraId="106FC31F" w14:textId="77777777" w:rsidR="008423E4" w:rsidRPr="00E21FDC" w:rsidRDefault="008423E4" w:rsidP="00A94A86">
            <w:pPr>
              <w:rPr>
                <w:b/>
              </w:rPr>
            </w:pPr>
          </w:p>
        </w:tc>
      </w:tr>
      <w:tr w:rsidR="001F1757" w14:paraId="5FF63398" w14:textId="77777777" w:rsidTr="00345119">
        <w:tc>
          <w:tcPr>
            <w:tcW w:w="9576" w:type="dxa"/>
          </w:tcPr>
          <w:p w14:paraId="6D8D5CB0" w14:textId="77777777" w:rsidR="008423E4" w:rsidRPr="00A8133F" w:rsidRDefault="00F56156" w:rsidP="00A9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29C6BE" w14:textId="77777777" w:rsidR="008423E4" w:rsidRDefault="008423E4" w:rsidP="00A94A86"/>
          <w:p w14:paraId="241F1B55" w14:textId="24BE907E" w:rsidR="00942C21" w:rsidRDefault="00F56156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B0B31">
              <w:t xml:space="preserve">H.B. 4016 amends the </w:t>
            </w:r>
            <w:r w:rsidR="008B0B31" w:rsidRPr="008B0B31">
              <w:t>Alcoholic Beverage Code</w:t>
            </w:r>
            <w:r w:rsidR="008B0B31">
              <w:t xml:space="preserve"> to authorize the </w:t>
            </w:r>
            <w:r w:rsidR="008B0B31" w:rsidRPr="008B0B31">
              <w:t>holder of a distiller's and rectifier's permit</w:t>
            </w:r>
            <w:r w:rsidR="008B0B31">
              <w:t xml:space="preserve"> to </w:t>
            </w:r>
            <w:r>
              <w:t xml:space="preserve">enter into </w:t>
            </w:r>
            <w:r w:rsidRPr="008B0B31">
              <w:t xml:space="preserve">an agreement </w:t>
            </w:r>
            <w:r>
              <w:t xml:space="preserve">with </w:t>
            </w:r>
            <w:r w:rsidRPr="008B0B31">
              <w:t>another distiller's and rectifier's permit holder</w:t>
            </w:r>
            <w:r>
              <w:t xml:space="preserve"> to</w:t>
            </w:r>
            <w:r w:rsidRPr="008B0B31">
              <w:t xml:space="preserve"> </w:t>
            </w:r>
            <w:r w:rsidR="008B0B31" w:rsidRPr="008B0B31">
              <w:t xml:space="preserve">engage in </w:t>
            </w:r>
            <w:r w:rsidR="00422FE0">
              <w:t>certain</w:t>
            </w:r>
            <w:r>
              <w:t xml:space="preserve"> </w:t>
            </w:r>
            <w:r w:rsidR="008B0B31" w:rsidRPr="008B0B31">
              <w:t>activit</w:t>
            </w:r>
            <w:r>
              <w:t>ies</w:t>
            </w:r>
            <w:r w:rsidR="008B0B31" w:rsidRPr="008B0B31">
              <w:t xml:space="preserve"> on the permitted premises of </w:t>
            </w:r>
            <w:r>
              <w:t xml:space="preserve">the other permit holder, </w:t>
            </w:r>
            <w:r>
              <w:t xml:space="preserve">subject to </w:t>
            </w:r>
            <w:r w:rsidR="008B0B31" w:rsidRPr="008B0B31">
              <w:t>approv</w:t>
            </w:r>
            <w:r>
              <w:t>al</w:t>
            </w:r>
            <w:r w:rsidR="008B0B31" w:rsidRPr="008B0B31">
              <w:t xml:space="preserve"> by the</w:t>
            </w:r>
            <w:r w:rsidR="008B0B31">
              <w:t xml:space="preserve"> </w:t>
            </w:r>
            <w:r w:rsidR="008B0B31" w:rsidRPr="008B0B31">
              <w:t>Texas Alcoholic Beverage Commission (TABC)</w:t>
            </w:r>
            <w:r w:rsidR="00422FE0">
              <w:t xml:space="preserve">. The bill also authorizes </w:t>
            </w:r>
            <w:r w:rsidR="00422FE0" w:rsidRPr="00422FE0">
              <w:t xml:space="preserve">the holder of a nonresident </w:t>
            </w:r>
            <w:r w:rsidR="00995A93" w:rsidRPr="008B0B31">
              <w:t xml:space="preserve">seller's </w:t>
            </w:r>
            <w:r w:rsidR="00422FE0" w:rsidRPr="00422FE0">
              <w:t xml:space="preserve">permit who owns a </w:t>
            </w:r>
            <w:r w:rsidR="008E12F1">
              <w:t xml:space="preserve">distillery </w:t>
            </w:r>
            <w:r w:rsidR="00422FE0" w:rsidRPr="00422FE0">
              <w:t xml:space="preserve">outside Texas to enter into an agreement with the holder of a distiller's and rectifier's permit that allows the nonresident seller to use the distiller's and rectifier's permitted premises to engage in </w:t>
            </w:r>
            <w:r w:rsidR="00422FE0">
              <w:t>those same</w:t>
            </w:r>
            <w:r w:rsidR="00422FE0" w:rsidRPr="00422FE0">
              <w:t xml:space="preserve"> activities, subject to approval by TABC</w:t>
            </w:r>
            <w:r w:rsidR="00422FE0">
              <w:t xml:space="preserve">. </w:t>
            </w:r>
            <w:r w:rsidR="00995A93">
              <w:t xml:space="preserve">The </w:t>
            </w:r>
            <w:r w:rsidR="008E12F1">
              <w:t xml:space="preserve">authorized </w:t>
            </w:r>
            <w:r w:rsidR="00995A93">
              <w:t xml:space="preserve">activities </w:t>
            </w:r>
            <w:r w:rsidR="00753C9F">
              <w:t>under</w:t>
            </w:r>
            <w:r w:rsidR="00995A93">
              <w:t xml:space="preserve"> both agreements are as follows:</w:t>
            </w:r>
            <w:r w:rsidR="008B0B31">
              <w:t xml:space="preserve"> </w:t>
            </w:r>
          </w:p>
          <w:p w14:paraId="6A66C25A" w14:textId="3DB9F9C8" w:rsidR="00942C21" w:rsidRDefault="00F56156" w:rsidP="00A94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manufactur</w:t>
            </w:r>
            <w:r w:rsidR="00995A93">
              <w:t>ing</w:t>
            </w:r>
            <w:r>
              <w:t xml:space="preserve"> distilled spirits;</w:t>
            </w:r>
          </w:p>
          <w:p w14:paraId="1763CCA5" w14:textId="22B0367D" w:rsidR="00790596" w:rsidRDefault="00F56156" w:rsidP="00A94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rectify</w:t>
            </w:r>
            <w:r w:rsidR="00995A93">
              <w:t>ing</w:t>
            </w:r>
            <w:r>
              <w:t>, purify</w:t>
            </w:r>
            <w:r w:rsidR="00995A93">
              <w:t>ing</w:t>
            </w:r>
            <w:r>
              <w:t>, and refin</w:t>
            </w:r>
            <w:r w:rsidR="00995A93">
              <w:t>ing</w:t>
            </w:r>
            <w:r>
              <w:t xml:space="preserve"> distilled spirits and wines</w:t>
            </w:r>
            <w:r w:rsidR="00995A93">
              <w:t>;</w:t>
            </w:r>
          </w:p>
          <w:p w14:paraId="3BE1FBC3" w14:textId="14293C43" w:rsidR="00942C21" w:rsidRDefault="00F56156" w:rsidP="00A94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mix</w:t>
            </w:r>
            <w:r w:rsidR="00995A93">
              <w:t>ing</w:t>
            </w:r>
            <w:r>
              <w:t xml:space="preserve"> wines, distilled spirits, or other liquors; and</w:t>
            </w:r>
          </w:p>
          <w:p w14:paraId="107CC194" w14:textId="41568D69" w:rsidR="00942C21" w:rsidRDefault="00F56156" w:rsidP="00A94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bottl</w:t>
            </w:r>
            <w:r w:rsidR="00995A93">
              <w:t>ing</w:t>
            </w:r>
            <w:r>
              <w:t>, label</w:t>
            </w:r>
            <w:r w:rsidR="00995A93">
              <w:t>ing</w:t>
            </w:r>
            <w:r>
              <w:t>, and packag</w:t>
            </w:r>
            <w:r w:rsidR="00995A93">
              <w:t>ing</w:t>
            </w:r>
            <w:r>
              <w:t xml:space="preserve"> the permit holder's </w:t>
            </w:r>
            <w:r w:rsidR="00995A93">
              <w:t xml:space="preserve">or nonresident seller's </w:t>
            </w:r>
            <w:r>
              <w:t>finished products</w:t>
            </w:r>
            <w:r w:rsidR="00995A93">
              <w:t>, as applicable</w:t>
            </w:r>
            <w:r>
              <w:t>.</w:t>
            </w:r>
          </w:p>
          <w:p w14:paraId="4AF36816" w14:textId="7EB5D095" w:rsidR="00942C21" w:rsidRDefault="00F56156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Eith</w:t>
            </w:r>
            <w:r>
              <w:t xml:space="preserve">er agreement </w:t>
            </w:r>
            <w:r w:rsidR="00326D76">
              <w:t xml:space="preserve">must </w:t>
            </w:r>
            <w:r w:rsidR="008B0B31" w:rsidRPr="008B0B31">
              <w:t>describe with specificity the nature, duration, and extent of the activities authorized by the agreement</w:t>
            </w:r>
            <w:r w:rsidR="008B0B31">
              <w:t xml:space="preserve">. </w:t>
            </w:r>
          </w:p>
          <w:p w14:paraId="4E7BD758" w14:textId="77777777" w:rsidR="00942C21" w:rsidRDefault="00942C21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BA5C23" w14:textId="1536D8D8" w:rsidR="008B0B31" w:rsidRPr="009C36CD" w:rsidRDefault="00F56156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4016</w:t>
            </w:r>
            <w:r w:rsidR="00EA13DE">
              <w:t xml:space="preserve"> requires TABC to adopt rules </w:t>
            </w:r>
            <w:r w:rsidR="00EA13DE" w:rsidRPr="00EA13DE">
              <w:t>regulating the shared use of the permitted premises</w:t>
            </w:r>
            <w:r w:rsidR="00EA13DE">
              <w:t xml:space="preserve"> for </w:t>
            </w:r>
            <w:r>
              <w:t xml:space="preserve">both </w:t>
            </w:r>
            <w:r w:rsidR="00EA13DE">
              <w:t xml:space="preserve">agreements </w:t>
            </w:r>
            <w:r>
              <w:t>authorized by t</w:t>
            </w:r>
            <w:r>
              <w:t xml:space="preserve">he bill </w:t>
            </w:r>
            <w:r w:rsidR="008307E5">
              <w:t xml:space="preserve">for purposes of </w:t>
            </w:r>
            <w:r w:rsidR="00EA13DE" w:rsidRPr="00EA13DE">
              <w:t>ensur</w:t>
            </w:r>
            <w:r w:rsidR="008307E5">
              <w:t>ing</w:t>
            </w:r>
            <w:r w:rsidR="00EA13DE" w:rsidRPr="00EA13DE">
              <w:t xml:space="preserve"> administrative accountability of each </w:t>
            </w:r>
            <w:r w:rsidR="008307E5">
              <w:t xml:space="preserve">applicable </w:t>
            </w:r>
            <w:r w:rsidR="00EA13DE" w:rsidRPr="00EA13DE">
              <w:t>permit holder and a strict separation between the businesses and operations of the permit holders.</w:t>
            </w:r>
          </w:p>
          <w:p w14:paraId="0C6D80E3" w14:textId="77777777" w:rsidR="008423E4" w:rsidRPr="00835628" w:rsidRDefault="008423E4" w:rsidP="00A94A86">
            <w:pPr>
              <w:rPr>
                <w:b/>
              </w:rPr>
            </w:pPr>
          </w:p>
        </w:tc>
      </w:tr>
      <w:tr w:rsidR="001F1757" w14:paraId="587AEAB6" w14:textId="77777777" w:rsidTr="00345119">
        <w:tc>
          <w:tcPr>
            <w:tcW w:w="9576" w:type="dxa"/>
          </w:tcPr>
          <w:p w14:paraId="032631BA" w14:textId="77777777" w:rsidR="008423E4" w:rsidRPr="00A8133F" w:rsidRDefault="00F56156" w:rsidP="00A9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4E6870" w14:textId="77777777" w:rsidR="008423E4" w:rsidRDefault="008423E4" w:rsidP="00A94A86"/>
          <w:p w14:paraId="3A096F8D" w14:textId="77777777" w:rsidR="008423E4" w:rsidRPr="003624F2" w:rsidRDefault="00F56156" w:rsidP="00A9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7093D21" w14:textId="77777777" w:rsidR="008423E4" w:rsidRPr="00233FDB" w:rsidRDefault="008423E4" w:rsidP="00A94A86">
            <w:pPr>
              <w:rPr>
                <w:b/>
              </w:rPr>
            </w:pPr>
          </w:p>
        </w:tc>
      </w:tr>
      <w:tr w:rsidR="001F1757" w14:paraId="118D26CE" w14:textId="77777777" w:rsidTr="00345119">
        <w:tc>
          <w:tcPr>
            <w:tcW w:w="9576" w:type="dxa"/>
          </w:tcPr>
          <w:p w14:paraId="226C80B6" w14:textId="77777777" w:rsidR="000054F7" w:rsidRDefault="00F56156" w:rsidP="00A94A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4C967F6B" w14:textId="77777777" w:rsidR="009047EE" w:rsidRDefault="009047EE" w:rsidP="00A94A86">
            <w:pPr>
              <w:jc w:val="both"/>
            </w:pPr>
          </w:p>
          <w:p w14:paraId="3F0A72AD" w14:textId="2DB171E6" w:rsidR="009047EE" w:rsidRDefault="00F56156" w:rsidP="00A94A86">
            <w:pPr>
              <w:jc w:val="both"/>
            </w:pPr>
            <w:r>
              <w:t>While C.S.H.B. 4016 may differ from the original in minor or nonsubstantive ways, the following summarizes the substantial differences between the introduced and committee substitute versions of the bill.</w:t>
            </w:r>
          </w:p>
          <w:p w14:paraId="0B6B4C31" w14:textId="2993593A" w:rsidR="009047EE" w:rsidRDefault="009047EE" w:rsidP="00A94A86">
            <w:pPr>
              <w:jc w:val="both"/>
            </w:pPr>
          </w:p>
          <w:p w14:paraId="1AE4E3E0" w14:textId="2C360061" w:rsidR="002D61D6" w:rsidRDefault="00F56156" w:rsidP="00A94A86">
            <w:pPr>
              <w:jc w:val="both"/>
            </w:pPr>
            <w:r>
              <w:t xml:space="preserve">While the original authorized an agreement between one holder of a distiller's and rectifier's permit and another </w:t>
            </w:r>
            <w:r w:rsidR="004344E3">
              <w:t xml:space="preserve">for the shared use of permitted premises </w:t>
            </w:r>
            <w:r>
              <w:t xml:space="preserve">to include any activity </w:t>
            </w:r>
            <w:r w:rsidR="004344E3">
              <w:t xml:space="preserve">otherwise </w:t>
            </w:r>
            <w:r>
              <w:t xml:space="preserve">authorized </w:t>
            </w:r>
            <w:r w:rsidR="004344E3">
              <w:t>under that permit</w:t>
            </w:r>
            <w:r w:rsidR="00300D5B">
              <w:t xml:space="preserve"> class</w:t>
            </w:r>
            <w:r w:rsidR="004344E3">
              <w:t>, the</w:t>
            </w:r>
            <w:r w:rsidR="009047EE">
              <w:t xml:space="preserve"> substitute </w:t>
            </w:r>
            <w:r w:rsidR="00300D5B">
              <w:t>limits</w:t>
            </w:r>
            <w:r>
              <w:t xml:space="preserve"> the activ</w:t>
            </w:r>
            <w:r>
              <w:t xml:space="preserve">ities authorized under </w:t>
            </w:r>
            <w:r w:rsidR="004344E3">
              <w:t xml:space="preserve">such </w:t>
            </w:r>
            <w:r>
              <w:t>an</w:t>
            </w:r>
            <w:r w:rsidR="004344E3">
              <w:t xml:space="preserve"> agreement</w:t>
            </w:r>
            <w:r>
              <w:t xml:space="preserve"> </w:t>
            </w:r>
            <w:r w:rsidR="004344E3">
              <w:t xml:space="preserve">to </w:t>
            </w:r>
            <w:r w:rsidR="00300D5B">
              <w:t>the activities</w:t>
            </w:r>
            <w:r w:rsidR="004344E3">
              <w:t xml:space="preserve"> specified by the bill. </w:t>
            </w:r>
            <w:r>
              <w:t xml:space="preserve"> </w:t>
            </w:r>
          </w:p>
          <w:p w14:paraId="61629B84" w14:textId="77777777" w:rsidR="002D61D6" w:rsidRDefault="002D61D6" w:rsidP="00A94A86">
            <w:pPr>
              <w:jc w:val="both"/>
            </w:pPr>
          </w:p>
          <w:p w14:paraId="643CF4ED" w14:textId="68C0FB02" w:rsidR="009047EE" w:rsidRPr="000054F7" w:rsidRDefault="00F56156" w:rsidP="00A94A86">
            <w:pPr>
              <w:jc w:val="both"/>
              <w:rPr>
                <w:b/>
                <w:u w:val="single"/>
              </w:rPr>
            </w:pPr>
            <w:r>
              <w:t xml:space="preserve">The substitute includes </w:t>
            </w:r>
            <w:r w:rsidR="00942C21">
              <w:t>authorization not in the original</w:t>
            </w:r>
            <w:r w:rsidR="004A2427">
              <w:t xml:space="preserve"> for the holder of a nonresident seller's permit to rectify, purify, and refine wine</w:t>
            </w:r>
            <w:r w:rsidR="00FB036E">
              <w:t>s</w:t>
            </w:r>
            <w:r w:rsidR="004A2427">
              <w:t xml:space="preserve"> and to mix wines, distilled spirits, or other liquors on the permitted premises of a distiller's and rectifier's permit holder under an agreement.</w:t>
            </w:r>
          </w:p>
        </w:tc>
      </w:tr>
      <w:tr w:rsidR="001F1757" w14:paraId="71D37905" w14:textId="77777777" w:rsidTr="00345119">
        <w:tc>
          <w:tcPr>
            <w:tcW w:w="9576" w:type="dxa"/>
          </w:tcPr>
          <w:p w14:paraId="263246D1" w14:textId="77777777" w:rsidR="000054F7" w:rsidRPr="009C1E9A" w:rsidRDefault="000054F7" w:rsidP="00A94A86">
            <w:pPr>
              <w:rPr>
                <w:b/>
                <w:u w:val="single"/>
              </w:rPr>
            </w:pPr>
          </w:p>
        </w:tc>
      </w:tr>
      <w:tr w:rsidR="001F1757" w14:paraId="1F5F3B4F" w14:textId="77777777" w:rsidTr="00345119">
        <w:tc>
          <w:tcPr>
            <w:tcW w:w="9576" w:type="dxa"/>
          </w:tcPr>
          <w:p w14:paraId="27F93B28" w14:textId="77777777" w:rsidR="000054F7" w:rsidRPr="000054F7" w:rsidRDefault="000054F7" w:rsidP="00A94A86">
            <w:pPr>
              <w:jc w:val="both"/>
            </w:pPr>
          </w:p>
        </w:tc>
      </w:tr>
    </w:tbl>
    <w:p w14:paraId="7E8B2C25" w14:textId="77777777" w:rsidR="008423E4" w:rsidRPr="00BE0E75" w:rsidRDefault="008423E4" w:rsidP="00A94A86">
      <w:pPr>
        <w:jc w:val="both"/>
        <w:rPr>
          <w:rFonts w:ascii="Arial" w:hAnsi="Arial"/>
          <w:sz w:val="16"/>
          <w:szCs w:val="16"/>
        </w:rPr>
      </w:pPr>
    </w:p>
    <w:p w14:paraId="3C297417" w14:textId="77777777" w:rsidR="004108C3" w:rsidRPr="008423E4" w:rsidRDefault="004108C3" w:rsidP="00A94A8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0F22" w14:textId="77777777" w:rsidR="00000000" w:rsidRDefault="00F56156">
      <w:r>
        <w:separator/>
      </w:r>
    </w:p>
  </w:endnote>
  <w:endnote w:type="continuationSeparator" w:id="0">
    <w:p w14:paraId="36F110DD" w14:textId="77777777" w:rsidR="00000000" w:rsidRDefault="00F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3A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1757" w14:paraId="25056258" w14:textId="77777777" w:rsidTr="009C1E9A">
      <w:trPr>
        <w:cantSplit/>
      </w:trPr>
      <w:tc>
        <w:tcPr>
          <w:tcW w:w="0" w:type="pct"/>
        </w:tcPr>
        <w:p w14:paraId="04D708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64D7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AEBE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D7B2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E2C7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1757" w14:paraId="06DC6EA1" w14:textId="77777777" w:rsidTr="009C1E9A">
      <w:trPr>
        <w:cantSplit/>
      </w:trPr>
      <w:tc>
        <w:tcPr>
          <w:tcW w:w="0" w:type="pct"/>
        </w:tcPr>
        <w:p w14:paraId="5A9A7D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C87036" w14:textId="17CB58F7" w:rsidR="00EC379B" w:rsidRPr="009C1E9A" w:rsidRDefault="00F561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20257</w:t>
          </w:r>
        </w:p>
      </w:tc>
      <w:tc>
        <w:tcPr>
          <w:tcW w:w="2453" w:type="pct"/>
        </w:tcPr>
        <w:p w14:paraId="6B85CB7D" w14:textId="643A8B4D" w:rsidR="00EC379B" w:rsidRDefault="00F56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4820">
            <w:t>21.106.1890</w:t>
          </w:r>
          <w:r>
            <w:fldChar w:fldCharType="end"/>
          </w:r>
        </w:p>
      </w:tc>
    </w:tr>
    <w:tr w:rsidR="001F1757" w14:paraId="1BF1CAB2" w14:textId="77777777" w:rsidTr="009C1E9A">
      <w:trPr>
        <w:cantSplit/>
      </w:trPr>
      <w:tc>
        <w:tcPr>
          <w:tcW w:w="0" w:type="pct"/>
        </w:tcPr>
        <w:p w14:paraId="518CBF7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9A6C83" w14:textId="5960ED19" w:rsidR="00EC379B" w:rsidRPr="009C1E9A" w:rsidRDefault="00F56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17669</w:t>
          </w:r>
        </w:p>
      </w:tc>
      <w:tc>
        <w:tcPr>
          <w:tcW w:w="2453" w:type="pct"/>
        </w:tcPr>
        <w:p w14:paraId="0241921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8F49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1757" w14:paraId="392E62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F9D2C7" w14:textId="77035F65" w:rsidR="00EC379B" w:rsidRDefault="00F561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482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17D4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93B3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02A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55C2" w14:textId="77777777" w:rsidR="00000000" w:rsidRDefault="00F56156">
      <w:r>
        <w:separator/>
      </w:r>
    </w:p>
  </w:footnote>
  <w:footnote w:type="continuationSeparator" w:id="0">
    <w:p w14:paraId="22EE4D85" w14:textId="77777777" w:rsidR="00000000" w:rsidRDefault="00F5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7BB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C3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8F7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2D9"/>
    <w:multiLevelType w:val="hybridMultilevel"/>
    <w:tmpl w:val="D272F412"/>
    <w:lvl w:ilvl="0" w:tplc="46E88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E2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EB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C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A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D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A8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21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324A"/>
    <w:multiLevelType w:val="hybridMultilevel"/>
    <w:tmpl w:val="FEE67D40"/>
    <w:lvl w:ilvl="0" w:tplc="9ADA0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C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0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43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68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06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4F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CF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A8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30C26"/>
    <w:multiLevelType w:val="hybridMultilevel"/>
    <w:tmpl w:val="66E4CA86"/>
    <w:lvl w:ilvl="0" w:tplc="574A2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08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6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4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E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EE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A8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02CF"/>
    <w:multiLevelType w:val="hybridMultilevel"/>
    <w:tmpl w:val="E6260262"/>
    <w:lvl w:ilvl="0" w:tplc="2FDC7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2A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44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7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2C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23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1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0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20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6"/>
    <w:rsid w:val="00000A70"/>
    <w:rsid w:val="000032B8"/>
    <w:rsid w:val="00003B06"/>
    <w:rsid w:val="000054B9"/>
    <w:rsid w:val="000054F7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502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7E2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75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899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1D6"/>
    <w:rsid w:val="002E21B8"/>
    <w:rsid w:val="002E7DF9"/>
    <w:rsid w:val="002F097B"/>
    <w:rsid w:val="002F3111"/>
    <w:rsid w:val="002F4AEC"/>
    <w:rsid w:val="002F795D"/>
    <w:rsid w:val="00300823"/>
    <w:rsid w:val="00300D5B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D7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93E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3C9"/>
    <w:rsid w:val="00415139"/>
    <w:rsid w:val="004166BB"/>
    <w:rsid w:val="004174CD"/>
    <w:rsid w:val="00422FE0"/>
    <w:rsid w:val="004241AA"/>
    <w:rsid w:val="0042422E"/>
    <w:rsid w:val="0043190E"/>
    <w:rsid w:val="004324E9"/>
    <w:rsid w:val="004344E3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78E"/>
    <w:rsid w:val="004618E4"/>
    <w:rsid w:val="00461B69"/>
    <w:rsid w:val="00462B3D"/>
    <w:rsid w:val="0046658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42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C9F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59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D5A"/>
    <w:rsid w:val="00827749"/>
    <w:rsid w:val="00827B7E"/>
    <w:rsid w:val="008307E5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1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2F1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7E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C21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A93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FFE"/>
    <w:rsid w:val="00A932BB"/>
    <w:rsid w:val="00A93579"/>
    <w:rsid w:val="00A93934"/>
    <w:rsid w:val="00A94A8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04F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48D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C12"/>
    <w:rsid w:val="00B87F5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867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066"/>
    <w:rsid w:val="00CB4B4B"/>
    <w:rsid w:val="00CB4B73"/>
    <w:rsid w:val="00CB7319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82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68C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3D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15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36E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31ECD-B2D5-4E16-95FB-3B210DB8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13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13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3DE"/>
    <w:rPr>
      <w:b/>
      <w:bCs/>
    </w:rPr>
  </w:style>
  <w:style w:type="paragraph" w:styleId="ListParagraph">
    <w:name w:val="List Paragraph"/>
    <w:basedOn w:val="Normal"/>
    <w:uiPriority w:val="34"/>
    <w:qFormat/>
    <w:rsid w:val="002D61D6"/>
    <w:pPr>
      <w:ind w:left="720"/>
      <w:contextualSpacing/>
    </w:pPr>
  </w:style>
  <w:style w:type="character" w:styleId="Hyperlink">
    <w:name w:val="Hyperlink"/>
    <w:basedOn w:val="DefaultParagraphFont"/>
    <w:unhideWhenUsed/>
    <w:rsid w:val="00461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3469</Characters>
  <Application>Microsoft Office Word</Application>
  <DocSecurity>4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HB04016 (Committee Report (Substituted))</vt:lpstr>
    </vt:vector>
  </TitlesOfParts>
  <Company>State of Texas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20257</dc:subject>
  <dc:creator>State of Texas</dc:creator>
  <dc:description>HB 4016 by Kuempel-(H)Licensing &amp; Administrative Procedures (Substitute Document Number: 87R 17669)</dc:description>
  <cp:lastModifiedBy>Stacey Nicchio</cp:lastModifiedBy>
  <cp:revision>2</cp:revision>
  <cp:lastPrinted>2003-11-26T17:21:00Z</cp:lastPrinted>
  <dcterms:created xsi:type="dcterms:W3CDTF">2021-04-19T23:30:00Z</dcterms:created>
  <dcterms:modified xsi:type="dcterms:W3CDTF">2021-04-19T23:30:00Z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21.106.1890</vt:lpwstr>
  </property>
</Properties>
</file>