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11097" w14:paraId="5498D8E6" w14:textId="77777777" w:rsidTr="00345119">
        <w:tc>
          <w:tcPr>
            <w:tcW w:w="9576" w:type="dxa"/>
            <w:noWrap/>
          </w:tcPr>
          <w:p w14:paraId="130226D8" w14:textId="77777777" w:rsidR="008423E4" w:rsidRPr="0022177D" w:rsidRDefault="00842A84" w:rsidP="00092EA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C5E4BF" w14:textId="77777777" w:rsidR="008423E4" w:rsidRPr="0022177D" w:rsidRDefault="008423E4" w:rsidP="00092EAE">
      <w:pPr>
        <w:jc w:val="center"/>
      </w:pPr>
    </w:p>
    <w:p w14:paraId="70E52A28" w14:textId="77777777" w:rsidR="008423E4" w:rsidRPr="00B31F0E" w:rsidRDefault="008423E4" w:rsidP="00092EAE"/>
    <w:p w14:paraId="228F3845" w14:textId="77777777" w:rsidR="008423E4" w:rsidRPr="00742794" w:rsidRDefault="008423E4" w:rsidP="00092EA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1097" w14:paraId="064E2E95" w14:textId="77777777" w:rsidTr="00345119">
        <w:tc>
          <w:tcPr>
            <w:tcW w:w="9576" w:type="dxa"/>
          </w:tcPr>
          <w:p w14:paraId="6B6E6CBB" w14:textId="2C215052" w:rsidR="008423E4" w:rsidRPr="00861995" w:rsidRDefault="00842A84" w:rsidP="00092EAE">
            <w:pPr>
              <w:jc w:val="right"/>
            </w:pPr>
            <w:r>
              <w:t>C.S.H.B. 4051</w:t>
            </w:r>
          </w:p>
        </w:tc>
      </w:tr>
      <w:tr w:rsidR="00211097" w14:paraId="29731BA2" w14:textId="77777777" w:rsidTr="00345119">
        <w:tc>
          <w:tcPr>
            <w:tcW w:w="9576" w:type="dxa"/>
          </w:tcPr>
          <w:p w14:paraId="005DCC4B" w14:textId="331B5F04" w:rsidR="008423E4" w:rsidRPr="00861995" w:rsidRDefault="00842A84" w:rsidP="002B5EA0">
            <w:pPr>
              <w:jc w:val="right"/>
            </w:pPr>
            <w:r>
              <w:t xml:space="preserve">By: </w:t>
            </w:r>
            <w:r w:rsidR="002B5EA0">
              <w:t>Frank</w:t>
            </w:r>
          </w:p>
        </w:tc>
      </w:tr>
      <w:tr w:rsidR="00211097" w14:paraId="25517DC2" w14:textId="77777777" w:rsidTr="00345119">
        <w:tc>
          <w:tcPr>
            <w:tcW w:w="9576" w:type="dxa"/>
          </w:tcPr>
          <w:p w14:paraId="3FF7ED25" w14:textId="552C9495" w:rsidR="008423E4" w:rsidRPr="00861995" w:rsidRDefault="00842A84" w:rsidP="00092EAE">
            <w:pPr>
              <w:jc w:val="right"/>
            </w:pPr>
            <w:r>
              <w:t>Insurance</w:t>
            </w:r>
          </w:p>
        </w:tc>
      </w:tr>
      <w:tr w:rsidR="00211097" w14:paraId="68D6F62B" w14:textId="77777777" w:rsidTr="00345119">
        <w:tc>
          <w:tcPr>
            <w:tcW w:w="9576" w:type="dxa"/>
          </w:tcPr>
          <w:p w14:paraId="425242BC" w14:textId="14799018" w:rsidR="008423E4" w:rsidRDefault="00842A84" w:rsidP="00092EAE">
            <w:pPr>
              <w:jc w:val="right"/>
            </w:pPr>
            <w:r>
              <w:t>Committee Report (Substituted)</w:t>
            </w:r>
          </w:p>
        </w:tc>
      </w:tr>
    </w:tbl>
    <w:p w14:paraId="19AEC197" w14:textId="77777777" w:rsidR="008423E4" w:rsidRDefault="008423E4" w:rsidP="00092EAE">
      <w:pPr>
        <w:tabs>
          <w:tab w:val="right" w:pos="9360"/>
        </w:tabs>
      </w:pPr>
    </w:p>
    <w:p w14:paraId="60457BE5" w14:textId="77777777" w:rsidR="008423E4" w:rsidRDefault="008423E4" w:rsidP="00092EAE"/>
    <w:p w14:paraId="64AEE950" w14:textId="77777777" w:rsidR="008423E4" w:rsidRDefault="008423E4" w:rsidP="00092EA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11097" w14:paraId="743AC11D" w14:textId="77777777" w:rsidTr="0093628C">
        <w:tc>
          <w:tcPr>
            <w:tcW w:w="9360" w:type="dxa"/>
          </w:tcPr>
          <w:p w14:paraId="25399C33" w14:textId="77777777" w:rsidR="008423E4" w:rsidRPr="00A8133F" w:rsidRDefault="00842A84" w:rsidP="00092E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2A06DA" w14:textId="77777777" w:rsidR="008423E4" w:rsidRDefault="008423E4" w:rsidP="00092EAE"/>
          <w:p w14:paraId="14D70B1C" w14:textId="63C44C0D" w:rsidR="00932020" w:rsidRDefault="00842A84" w:rsidP="00092EAE">
            <w:pPr>
              <w:pStyle w:val="Header"/>
              <w:jc w:val="both"/>
            </w:pPr>
            <w:r>
              <w:t xml:space="preserve">There are </w:t>
            </w:r>
            <w:r w:rsidRPr="00932020">
              <w:t>concerns that</w:t>
            </w:r>
            <w:r w:rsidR="007270C5" w:rsidRPr="00932020">
              <w:t xml:space="preserve"> anti-competitive practices in the health</w:t>
            </w:r>
            <w:r w:rsidR="000A5D62">
              <w:t xml:space="preserve"> </w:t>
            </w:r>
            <w:r w:rsidR="007270C5" w:rsidRPr="00932020">
              <w:t xml:space="preserve">care market hurt patient access and increase costs. </w:t>
            </w:r>
            <w:r w:rsidR="001D76FB">
              <w:t>One example</w:t>
            </w:r>
            <w:r w:rsidR="000F3786">
              <w:t xml:space="preserve"> of such practices</w:t>
            </w:r>
            <w:r w:rsidR="001D76FB">
              <w:t xml:space="preserve"> is the use of </w:t>
            </w:r>
            <w:r w:rsidR="000F3786">
              <w:t>most favored nation clauses in provider network contracts</w:t>
            </w:r>
            <w:r w:rsidR="009B4533">
              <w:t xml:space="preserve">, </w:t>
            </w:r>
            <w:r w:rsidR="0059494C">
              <w:t xml:space="preserve">where </w:t>
            </w:r>
            <w:r w:rsidR="009B4533">
              <w:t>insurance companies and large providers attempt to keep potential competitors from negotiating for rates more advantageous to patients</w:t>
            </w:r>
            <w:r w:rsidR="000F3786">
              <w:t xml:space="preserve">. These </w:t>
            </w:r>
            <w:r w:rsidR="008824B0">
              <w:t xml:space="preserve">clauses </w:t>
            </w:r>
            <w:r w:rsidR="000F3786">
              <w:t>have been prohibited by a number of other states</w:t>
            </w:r>
            <w:r w:rsidR="008824B0">
              <w:t xml:space="preserve"> and have also been the subject of </w:t>
            </w:r>
            <w:r w:rsidR="0059494C">
              <w:t xml:space="preserve">a </w:t>
            </w:r>
            <w:r w:rsidR="008824B0">
              <w:t>Department of Justice a</w:t>
            </w:r>
            <w:r w:rsidR="0059494C">
              <w:t>ntitrust lawsuit</w:t>
            </w:r>
            <w:r w:rsidR="000F3786">
              <w:t xml:space="preserve">. </w:t>
            </w:r>
          </w:p>
          <w:p w14:paraId="61987549" w14:textId="77777777" w:rsidR="00932020" w:rsidRDefault="00932020" w:rsidP="00092EAE">
            <w:pPr>
              <w:pStyle w:val="Header"/>
              <w:jc w:val="both"/>
            </w:pPr>
          </w:p>
          <w:p w14:paraId="0128709E" w14:textId="1DFE5C42" w:rsidR="00932020" w:rsidRDefault="00842A84" w:rsidP="00092EAE">
            <w:pPr>
              <w:pStyle w:val="Header"/>
              <w:jc w:val="both"/>
            </w:pPr>
            <w:r>
              <w:t xml:space="preserve">Furthermore, some </w:t>
            </w:r>
            <w:r w:rsidR="008824B0">
              <w:t>insurance contracts prohibit providers from accepting direct payments from patients who have health insurance, even if it would be less expensive for the patient</w:t>
            </w:r>
            <w:r w:rsidR="009B4533">
              <w:t>. The insurance claim process</w:t>
            </w:r>
            <w:r>
              <w:t xml:space="preserve"> requires a large amount of time, money, and attention from</w:t>
            </w:r>
            <w:r w:rsidR="00232DB8">
              <w:t xml:space="preserve"> a provider.</w:t>
            </w:r>
            <w:r>
              <w:t xml:space="preserve"> Ince</w:t>
            </w:r>
            <w:r w:rsidR="00232DB8">
              <w:t>ntivizing direct payment when it makes sense c</w:t>
            </w:r>
            <w:r>
              <w:t>ould be beneficial for patients, providers, and insurers alike</w:t>
            </w:r>
            <w:r>
              <w:t xml:space="preserve">. </w:t>
            </w:r>
            <w:r w:rsidR="00AF0DD2">
              <w:t xml:space="preserve"> </w:t>
            </w:r>
          </w:p>
          <w:p w14:paraId="641B554F" w14:textId="77777777" w:rsidR="00932020" w:rsidRDefault="00932020" w:rsidP="00092EAE">
            <w:pPr>
              <w:pStyle w:val="Header"/>
              <w:jc w:val="both"/>
            </w:pPr>
          </w:p>
          <w:p w14:paraId="6F0B1BF8" w14:textId="69B749F2" w:rsidR="007270C5" w:rsidRDefault="00842A84" w:rsidP="00092EAE">
            <w:pPr>
              <w:pStyle w:val="Header"/>
              <w:jc w:val="both"/>
            </w:pPr>
            <w:r>
              <w:t xml:space="preserve">C.S.H.B. 4051 </w:t>
            </w:r>
            <w:r w:rsidR="008824B0">
              <w:t>aims to improve competition in the health</w:t>
            </w:r>
            <w:r w:rsidR="000A5D62">
              <w:t xml:space="preserve"> </w:t>
            </w:r>
            <w:r w:rsidR="008824B0">
              <w:t>care market</w:t>
            </w:r>
            <w:r w:rsidR="00232DB8">
              <w:t xml:space="preserve"> by prohibiting the use of most favored nation clauses in provider network contracts and </w:t>
            </w:r>
            <w:r w:rsidR="0002324E">
              <w:t>prohibit</w:t>
            </w:r>
            <w:r w:rsidR="00232DB8">
              <w:t>ing</w:t>
            </w:r>
            <w:r>
              <w:t xml:space="preserve"> certain insurance contract provisions that do not allow patients who have health insurance to pay directly for a service. It would also ensure that anyone who is uninsured </w:t>
            </w:r>
            <w:r w:rsidR="00C85C25">
              <w:t>is not charged</w:t>
            </w:r>
            <w:r>
              <w:t xml:space="preserve"> a higher price than someone with health insurance</w:t>
            </w:r>
            <w:r w:rsidR="00C85C25">
              <w:t xml:space="preserve"> for the same service</w:t>
            </w:r>
            <w:r>
              <w:t>.</w:t>
            </w:r>
          </w:p>
          <w:p w14:paraId="183CEC1D" w14:textId="77777777" w:rsidR="008423E4" w:rsidRPr="00E26B13" w:rsidRDefault="008423E4" w:rsidP="00092EAE">
            <w:pPr>
              <w:rPr>
                <w:b/>
              </w:rPr>
            </w:pPr>
          </w:p>
        </w:tc>
      </w:tr>
      <w:tr w:rsidR="00211097" w14:paraId="598BE8CB" w14:textId="77777777" w:rsidTr="0093628C">
        <w:tc>
          <w:tcPr>
            <w:tcW w:w="9360" w:type="dxa"/>
          </w:tcPr>
          <w:p w14:paraId="0D0F78AA" w14:textId="77777777" w:rsidR="0017725B" w:rsidRDefault="00842A84" w:rsidP="00092E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94C071" w14:textId="77777777" w:rsidR="0017725B" w:rsidRDefault="0017725B" w:rsidP="00092EAE">
            <w:pPr>
              <w:rPr>
                <w:b/>
                <w:u w:val="single"/>
              </w:rPr>
            </w:pPr>
          </w:p>
          <w:p w14:paraId="56A768BF" w14:textId="77777777" w:rsidR="007270C5" w:rsidRPr="007270C5" w:rsidRDefault="00842A84" w:rsidP="00092EA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6F6A3BFA" w14:textId="77777777" w:rsidR="0017725B" w:rsidRPr="0017725B" w:rsidRDefault="0017725B" w:rsidP="00092EAE">
            <w:pPr>
              <w:rPr>
                <w:b/>
                <w:u w:val="single"/>
              </w:rPr>
            </w:pPr>
          </w:p>
        </w:tc>
      </w:tr>
      <w:tr w:rsidR="00211097" w14:paraId="55A7FC19" w14:textId="77777777" w:rsidTr="0093628C">
        <w:tc>
          <w:tcPr>
            <w:tcW w:w="9360" w:type="dxa"/>
          </w:tcPr>
          <w:p w14:paraId="676EA110" w14:textId="77777777" w:rsidR="008423E4" w:rsidRPr="00A8133F" w:rsidRDefault="00842A84" w:rsidP="00092E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25E38B" w14:textId="77777777" w:rsidR="008423E4" w:rsidRDefault="008423E4" w:rsidP="00092EAE"/>
          <w:p w14:paraId="3A970138" w14:textId="77777777" w:rsidR="007270C5" w:rsidRDefault="00842A84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E16A440" w14:textId="77777777" w:rsidR="008423E4" w:rsidRPr="00E21FDC" w:rsidRDefault="008423E4" w:rsidP="00092EAE">
            <w:pPr>
              <w:rPr>
                <w:b/>
              </w:rPr>
            </w:pPr>
          </w:p>
        </w:tc>
      </w:tr>
      <w:tr w:rsidR="00211097" w14:paraId="55D746A7" w14:textId="77777777" w:rsidTr="0093628C">
        <w:tc>
          <w:tcPr>
            <w:tcW w:w="9360" w:type="dxa"/>
          </w:tcPr>
          <w:p w14:paraId="287F248C" w14:textId="77777777" w:rsidR="008423E4" w:rsidRPr="00A8133F" w:rsidRDefault="00842A84" w:rsidP="00092E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0A9E40E" w14:textId="77777777" w:rsidR="008423E4" w:rsidRDefault="008423E4" w:rsidP="00092EAE"/>
          <w:p w14:paraId="009EB4B9" w14:textId="62304C1D" w:rsidR="007270C5" w:rsidRDefault="00842A84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4051 amends the Insurance Code to </w:t>
            </w:r>
            <w:r w:rsidR="00694BF1">
              <w:t xml:space="preserve">establish that </w:t>
            </w:r>
            <w:r>
              <w:t xml:space="preserve">a physician or health care provider </w:t>
            </w:r>
            <w:r w:rsidR="00694BF1">
              <w:t>may not be</w:t>
            </w:r>
            <w:r>
              <w:t xml:space="preserve"> prohibited from accepting directly from an enrollee full payment for a health care service in lieu of submitting a claim to the enrollee's health benefit p</w:t>
            </w:r>
            <w:r>
              <w:t xml:space="preserve">lan. The bill prohibits the charge for a health care service for which a physician or health care provider accepts </w:t>
            </w:r>
            <w:r w:rsidR="00694BF1">
              <w:t xml:space="preserve">such </w:t>
            </w:r>
            <w:r>
              <w:t xml:space="preserve">a </w:t>
            </w:r>
            <w:r w:rsidR="00694BF1">
              <w:t xml:space="preserve">direct </w:t>
            </w:r>
            <w:r>
              <w:t>payment</w:t>
            </w:r>
            <w:r w:rsidR="00694BF1">
              <w:t xml:space="preserve"> or a payment </w:t>
            </w:r>
            <w:r w:rsidR="00344A07">
              <w:t>from a patient without a health benefit plan</w:t>
            </w:r>
            <w:r>
              <w:t xml:space="preserve"> </w:t>
            </w:r>
            <w:r w:rsidRPr="00D51113">
              <w:t>from exceeding</w:t>
            </w:r>
            <w:r>
              <w:t xml:space="preserve"> the lowest contract rate for the health care s</w:t>
            </w:r>
            <w:r>
              <w:t xml:space="preserve">ervice allowable under any health benefit plan with respect to which the physician or health care provider is a contracted, preferred, or participating provider. </w:t>
            </w:r>
            <w:r w:rsidRPr="00B960BF">
              <w:t xml:space="preserve">The bill establishes the applicability of </w:t>
            </w:r>
            <w:r w:rsidR="000D7FF8">
              <w:t>these</w:t>
            </w:r>
            <w:r w:rsidR="000D7FF8" w:rsidRPr="00B960BF">
              <w:t xml:space="preserve"> </w:t>
            </w:r>
            <w:r w:rsidRPr="00B960BF">
              <w:t>provisions</w:t>
            </w:r>
            <w:r w:rsidR="000D7FF8">
              <w:t>.</w:t>
            </w:r>
          </w:p>
          <w:p w14:paraId="6387C332" w14:textId="77777777" w:rsidR="007270C5" w:rsidRDefault="007270C5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583286" w14:textId="3F6D0CB0" w:rsidR="007270C5" w:rsidRDefault="00842A84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4051 prohibits </w:t>
            </w:r>
            <w:r w:rsidRPr="00B960BF">
              <w:t xml:space="preserve">a </w:t>
            </w:r>
            <w:r w:rsidRPr="00B960BF">
              <w:t>contracting entity</w:t>
            </w:r>
            <w:r>
              <w:t xml:space="preserve"> from</w:t>
            </w:r>
            <w:r w:rsidR="00694BF1">
              <w:t xml:space="preserve"> taking the following actions</w:t>
            </w:r>
            <w:r>
              <w:t>:</w:t>
            </w:r>
          </w:p>
          <w:p w14:paraId="5497306B" w14:textId="77777777" w:rsidR="007270C5" w:rsidRDefault="00842A84" w:rsidP="00092E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offering to a provider a provider network contract that includes a most favored nation clause; </w:t>
            </w:r>
          </w:p>
          <w:p w14:paraId="47296EBC" w14:textId="77777777" w:rsidR="007270C5" w:rsidRDefault="00842A84" w:rsidP="00092E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entering into a provider network contract that includes a most favored nation clause; or</w:t>
            </w:r>
          </w:p>
          <w:p w14:paraId="1B89F16C" w14:textId="77777777" w:rsidR="007270C5" w:rsidRDefault="00842A84" w:rsidP="00092E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amending or renew</w:t>
            </w:r>
            <w:r>
              <w:t>ing an existing provider network contract previously entered into with a provider so that the contract as amended or renewed adds or continues to include a most favored nation clause.</w:t>
            </w:r>
          </w:p>
          <w:p w14:paraId="15FF8EE2" w14:textId="77777777" w:rsidR="007270C5" w:rsidRDefault="007270C5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81934FE" w14:textId="0D42201E" w:rsidR="007270C5" w:rsidRDefault="00842A84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4051 defines "most favored nation clause" as a provision in a </w:t>
            </w:r>
            <w:r>
              <w:t>provider network contract that</w:t>
            </w:r>
            <w:r w:rsidR="00327B46">
              <w:t xml:space="preserve"> does the following</w:t>
            </w:r>
            <w:r>
              <w:t>:</w:t>
            </w:r>
          </w:p>
          <w:p w14:paraId="4A12B34A" w14:textId="77777777" w:rsidR="007270C5" w:rsidRDefault="00842A84" w:rsidP="00092E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prohibits or grants an option to prohibit:</w:t>
            </w:r>
          </w:p>
          <w:p w14:paraId="4A74EE81" w14:textId="0F1D5BFA" w:rsidR="007270C5" w:rsidRDefault="00842A84" w:rsidP="00092EAE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 provider from contracting with another contracting entity to provide health</w:t>
            </w:r>
            <w:r w:rsidR="0066421B">
              <w:t xml:space="preserve"> </w:t>
            </w:r>
            <w:r>
              <w:t xml:space="preserve">care services at a lower </w:t>
            </w:r>
            <w:r w:rsidR="0066421B">
              <w:t>rate</w:t>
            </w:r>
            <w:r>
              <w:t>; or</w:t>
            </w:r>
          </w:p>
          <w:p w14:paraId="02EEB5CA" w14:textId="745E2D61" w:rsidR="007270C5" w:rsidRDefault="00842A84" w:rsidP="00092EAE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 contracting entity from contracting with another</w:t>
            </w:r>
            <w:r>
              <w:t xml:space="preserve"> provider to provide health</w:t>
            </w:r>
            <w:r w:rsidR="0066421B">
              <w:t xml:space="preserve"> </w:t>
            </w:r>
            <w:r>
              <w:t xml:space="preserve">care services at a higher </w:t>
            </w:r>
            <w:r w:rsidR="0066421B">
              <w:t>rate</w:t>
            </w:r>
            <w:r>
              <w:t>;</w:t>
            </w:r>
          </w:p>
          <w:p w14:paraId="1AC0C194" w14:textId="77777777" w:rsidR="007270C5" w:rsidRDefault="00842A84" w:rsidP="00092E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requires or grants an option to require:</w:t>
            </w:r>
          </w:p>
          <w:p w14:paraId="6FCF1146" w14:textId="141BA973" w:rsidR="007270C5" w:rsidRDefault="00842A84" w:rsidP="00092EAE">
            <w:pPr>
              <w:pStyle w:val="Header"/>
              <w:numPr>
                <w:ilvl w:val="1"/>
                <w:numId w:val="2"/>
              </w:numPr>
              <w:jc w:val="both"/>
            </w:pPr>
            <w:r w:rsidRPr="0066421B">
              <w:t>a provi</w:t>
            </w:r>
            <w:r w:rsidRPr="00327B46">
              <w:t xml:space="preserve">der to accept a lower </w:t>
            </w:r>
            <w:r w:rsidR="00344A07" w:rsidRPr="0066421B">
              <w:t>rate for health care services if</w:t>
            </w:r>
            <w:r w:rsidRPr="0066421B">
              <w:t xml:space="preserve"> the provider agrees </w:t>
            </w:r>
            <w:r w:rsidR="0066421B">
              <w:t>with another</w:t>
            </w:r>
            <w:r w:rsidRPr="0066421B">
              <w:t xml:space="preserve"> contracting entity </w:t>
            </w:r>
            <w:r w:rsidR="00344A07" w:rsidRPr="0066421B">
              <w:t xml:space="preserve">to accept </w:t>
            </w:r>
            <w:r w:rsidRPr="0066421B">
              <w:t xml:space="preserve">a lower </w:t>
            </w:r>
            <w:r w:rsidR="00344A07" w:rsidRPr="0066421B">
              <w:t>rate for the services</w:t>
            </w:r>
            <w:r w:rsidRPr="0066421B">
              <w:t xml:space="preserve">; </w:t>
            </w:r>
            <w:r w:rsidRPr="0066421B">
              <w:t>or</w:t>
            </w:r>
          </w:p>
          <w:p w14:paraId="75D69859" w14:textId="0AF721C6" w:rsidR="007270C5" w:rsidRDefault="00842A84" w:rsidP="00092EAE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contracting entity to pay a higher rate </w:t>
            </w:r>
            <w:r w:rsidR="00344A07">
              <w:t xml:space="preserve">for health care services if the </w:t>
            </w:r>
            <w:r>
              <w:t xml:space="preserve">entity agrees </w:t>
            </w:r>
            <w:r w:rsidR="00327B46" w:rsidRPr="00327B46">
              <w:t>with another provider</w:t>
            </w:r>
            <w:r w:rsidR="00327B46">
              <w:t xml:space="preserve"> </w:t>
            </w:r>
            <w:r>
              <w:t>to pay a higher rate</w:t>
            </w:r>
            <w:r w:rsidR="00344A07">
              <w:t xml:space="preserve"> for the services</w:t>
            </w:r>
            <w:r>
              <w:t>;</w:t>
            </w:r>
          </w:p>
          <w:p w14:paraId="449F7A27" w14:textId="77777777" w:rsidR="007270C5" w:rsidRDefault="00842A84" w:rsidP="00092E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requires or grants an option to require termination or renegotiation of an existing provider network con</w:t>
            </w:r>
            <w:r>
              <w:t>tract if:</w:t>
            </w:r>
          </w:p>
          <w:p w14:paraId="351E12B2" w14:textId="1ABDF9C9" w:rsidR="007270C5" w:rsidRDefault="00842A84" w:rsidP="00092EAE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provider agrees </w:t>
            </w:r>
            <w:r w:rsidR="0066421B">
              <w:t>with</w:t>
            </w:r>
            <w:r>
              <w:t xml:space="preserve"> another contracting entity </w:t>
            </w:r>
            <w:r w:rsidR="0066421B">
              <w:t>to accept</w:t>
            </w:r>
            <w:r>
              <w:t xml:space="preserve"> a lower </w:t>
            </w:r>
            <w:r w:rsidR="0066421B">
              <w:t>rate for providing health care services</w:t>
            </w:r>
            <w:r>
              <w:t>; or</w:t>
            </w:r>
          </w:p>
          <w:p w14:paraId="5DBFF90D" w14:textId="1241C466" w:rsidR="00344A07" w:rsidRDefault="00842A84" w:rsidP="00092EAE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a contracting entity agrees </w:t>
            </w:r>
            <w:r w:rsidR="0066421B">
              <w:t>with a</w:t>
            </w:r>
            <w:r>
              <w:t xml:space="preserve"> provider </w:t>
            </w:r>
            <w:r w:rsidR="0066421B">
              <w:t xml:space="preserve">to pay </w:t>
            </w:r>
            <w:r>
              <w:t>a higher rate</w:t>
            </w:r>
            <w:r w:rsidR="0066421B">
              <w:t xml:space="preserve"> for health care services</w:t>
            </w:r>
            <w:r>
              <w:t>;</w:t>
            </w:r>
            <w:r w:rsidR="006649E7">
              <w:t xml:space="preserve"> or</w:t>
            </w:r>
          </w:p>
          <w:p w14:paraId="28C23F04" w14:textId="77777777" w:rsidR="009C36CD" w:rsidRPr="009C36CD" w:rsidRDefault="00842A84" w:rsidP="00092EA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requires a provider to disclose the prov</w:t>
            </w:r>
            <w:r>
              <w:t>ider's contractual reimbursement rates with other contracting entities or a contracting entity to disclose the contracting entity's contractual reimbursement rates with other providers.</w:t>
            </w:r>
          </w:p>
          <w:p w14:paraId="3EF84762" w14:textId="77777777" w:rsidR="008423E4" w:rsidRPr="00835628" w:rsidRDefault="008423E4" w:rsidP="00092EAE">
            <w:pPr>
              <w:rPr>
                <w:b/>
              </w:rPr>
            </w:pPr>
          </w:p>
        </w:tc>
      </w:tr>
      <w:tr w:rsidR="00211097" w14:paraId="040606D6" w14:textId="77777777" w:rsidTr="0093628C">
        <w:tc>
          <w:tcPr>
            <w:tcW w:w="9360" w:type="dxa"/>
          </w:tcPr>
          <w:p w14:paraId="3EBE5C85" w14:textId="77777777" w:rsidR="008423E4" w:rsidRPr="00A8133F" w:rsidRDefault="00842A84" w:rsidP="00092E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F02AB7" w14:textId="77777777" w:rsidR="008423E4" w:rsidRDefault="008423E4" w:rsidP="00092EAE"/>
          <w:p w14:paraId="43A38480" w14:textId="77777777" w:rsidR="008423E4" w:rsidRPr="003624F2" w:rsidRDefault="00842A84" w:rsidP="00092E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31EEA0E" w14:textId="77777777" w:rsidR="008423E4" w:rsidRPr="00233FDB" w:rsidRDefault="008423E4" w:rsidP="00092EAE">
            <w:pPr>
              <w:rPr>
                <w:b/>
              </w:rPr>
            </w:pPr>
          </w:p>
        </w:tc>
      </w:tr>
      <w:tr w:rsidR="00211097" w14:paraId="59BB9BAA" w14:textId="77777777" w:rsidTr="0093628C">
        <w:tc>
          <w:tcPr>
            <w:tcW w:w="9360" w:type="dxa"/>
          </w:tcPr>
          <w:p w14:paraId="4A223FA0" w14:textId="77777777" w:rsidR="002B5EA0" w:rsidRDefault="00842A84" w:rsidP="002B5E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14:paraId="6D2D17A0" w14:textId="77777777" w:rsidR="005670A1" w:rsidRDefault="005670A1" w:rsidP="002B5EA0">
            <w:pPr>
              <w:jc w:val="both"/>
              <w:rPr>
                <w:b/>
                <w:u w:val="single"/>
              </w:rPr>
            </w:pPr>
          </w:p>
          <w:p w14:paraId="0EDF1C26" w14:textId="77777777" w:rsidR="0093628C" w:rsidRDefault="00842A84" w:rsidP="0093628C">
            <w:pPr>
              <w:jc w:val="both"/>
            </w:pPr>
            <w:r>
              <w:t>While C.S.H.B. 4051 may differ from the original in minor or nonsubstantive ways, the following summarizes the substantial differences between the introduced and committee substitute versions of the bill.</w:t>
            </w:r>
          </w:p>
          <w:p w14:paraId="204797A7" w14:textId="77777777" w:rsidR="0093628C" w:rsidRDefault="0093628C" w:rsidP="0093628C">
            <w:pPr>
              <w:jc w:val="both"/>
            </w:pPr>
          </w:p>
          <w:p w14:paraId="4215CF39" w14:textId="75919DD5" w:rsidR="0093628C" w:rsidRPr="002B5EA0" w:rsidRDefault="00842A84" w:rsidP="0093628C">
            <w:pPr>
              <w:jc w:val="both"/>
              <w:rPr>
                <w:b/>
                <w:u w:val="single"/>
              </w:rPr>
            </w:pPr>
            <w:r>
              <w:t>Both the original and substitute prohi</w:t>
            </w:r>
            <w:r>
              <w:t xml:space="preserve">bit a charge for a health care service for which a physician or health care provider accepts direct payment in lieu of a health insurance claim from exceeding the lowest contract rate for the service </w:t>
            </w:r>
            <w:r w:rsidRPr="001D76FB">
              <w:t xml:space="preserve">allowable under any health benefit plan with respect to </w:t>
            </w:r>
            <w:r w:rsidRPr="001D76FB">
              <w:t>which the physician or health care provider is a contracted, preferred, or participating provider.</w:t>
            </w:r>
            <w:r>
              <w:t xml:space="preserve"> However, the substitute also applies this prohibition to a </w:t>
            </w:r>
            <w:r w:rsidRPr="001D76FB">
              <w:t>charge for a health care service for which a physician or health care provider accepts</w:t>
            </w:r>
            <w:r>
              <w:t xml:space="preserve"> a payment f</w:t>
            </w:r>
            <w:r>
              <w:t>rom a patient without a health benefit plan.</w:t>
            </w:r>
          </w:p>
        </w:tc>
      </w:tr>
    </w:tbl>
    <w:p w14:paraId="4E727178" w14:textId="77777777" w:rsidR="008423E4" w:rsidRPr="00BE0E75" w:rsidRDefault="008423E4" w:rsidP="00092EAE">
      <w:pPr>
        <w:jc w:val="both"/>
        <w:rPr>
          <w:rFonts w:ascii="Arial" w:hAnsi="Arial"/>
          <w:sz w:val="16"/>
          <w:szCs w:val="16"/>
        </w:rPr>
      </w:pPr>
    </w:p>
    <w:p w14:paraId="1777DD6A" w14:textId="77777777" w:rsidR="004108C3" w:rsidRPr="008423E4" w:rsidRDefault="004108C3" w:rsidP="00092EA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1A28" w14:textId="77777777" w:rsidR="00000000" w:rsidRDefault="00842A84">
      <w:r>
        <w:separator/>
      </w:r>
    </w:p>
  </w:endnote>
  <w:endnote w:type="continuationSeparator" w:id="0">
    <w:p w14:paraId="71D70711" w14:textId="77777777" w:rsidR="00000000" w:rsidRDefault="0084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E6A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1097" w14:paraId="756929FF" w14:textId="77777777" w:rsidTr="009C1E9A">
      <w:trPr>
        <w:cantSplit/>
      </w:trPr>
      <w:tc>
        <w:tcPr>
          <w:tcW w:w="0" w:type="pct"/>
        </w:tcPr>
        <w:p w14:paraId="20B17C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12A6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9AC49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749D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C3D2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1097" w14:paraId="32D493F2" w14:textId="77777777" w:rsidTr="009C1E9A">
      <w:trPr>
        <w:cantSplit/>
      </w:trPr>
      <w:tc>
        <w:tcPr>
          <w:tcW w:w="0" w:type="pct"/>
        </w:tcPr>
        <w:p w14:paraId="5E7D06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5D5E68" w14:textId="0FCDAD23" w:rsidR="00EC379B" w:rsidRPr="009C1E9A" w:rsidRDefault="00842A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23150</w:t>
          </w:r>
        </w:p>
      </w:tc>
      <w:tc>
        <w:tcPr>
          <w:tcW w:w="2453" w:type="pct"/>
        </w:tcPr>
        <w:p w14:paraId="01FBC581" w14:textId="030FFC2F" w:rsidR="00EC379B" w:rsidRDefault="00842A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4A5C">
            <w:t>21.117.653</w:t>
          </w:r>
          <w:r>
            <w:fldChar w:fldCharType="end"/>
          </w:r>
        </w:p>
      </w:tc>
    </w:tr>
    <w:tr w:rsidR="00211097" w14:paraId="74AD2BAE" w14:textId="77777777" w:rsidTr="009C1E9A">
      <w:trPr>
        <w:cantSplit/>
      </w:trPr>
      <w:tc>
        <w:tcPr>
          <w:tcW w:w="0" w:type="pct"/>
        </w:tcPr>
        <w:p w14:paraId="203C79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B117C0F" w14:textId="5440A40C" w:rsidR="00EC379B" w:rsidRPr="009C1E9A" w:rsidRDefault="00842A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18910</w:t>
          </w:r>
        </w:p>
      </w:tc>
      <w:tc>
        <w:tcPr>
          <w:tcW w:w="2453" w:type="pct"/>
        </w:tcPr>
        <w:p w14:paraId="78D11BF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2BE9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1097" w14:paraId="65BFCA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71ACA5" w14:textId="6A491971" w:rsidR="00EC379B" w:rsidRDefault="00842A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34A5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DF908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BF3BD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035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FD88" w14:textId="77777777" w:rsidR="00000000" w:rsidRDefault="00842A84">
      <w:r>
        <w:separator/>
      </w:r>
    </w:p>
  </w:footnote>
  <w:footnote w:type="continuationSeparator" w:id="0">
    <w:p w14:paraId="0B8C880F" w14:textId="77777777" w:rsidR="00000000" w:rsidRDefault="0084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242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2C0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881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71EA"/>
    <w:multiLevelType w:val="hybridMultilevel"/>
    <w:tmpl w:val="E85A70F0"/>
    <w:lvl w:ilvl="0" w:tplc="ACE2E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40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6E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28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09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6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06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8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F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122E"/>
    <w:multiLevelType w:val="hybridMultilevel"/>
    <w:tmpl w:val="3B022E78"/>
    <w:lvl w:ilvl="0" w:tplc="96BE7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A5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0E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E8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6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A1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62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E1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5"/>
    <w:rsid w:val="00000A70"/>
    <w:rsid w:val="0000310D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24E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EAE"/>
    <w:rsid w:val="00097AAF"/>
    <w:rsid w:val="00097D13"/>
    <w:rsid w:val="000A4893"/>
    <w:rsid w:val="000A54E0"/>
    <w:rsid w:val="000A5D62"/>
    <w:rsid w:val="000A72C4"/>
    <w:rsid w:val="000B078A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FF8"/>
    <w:rsid w:val="000E1976"/>
    <w:rsid w:val="000E20F1"/>
    <w:rsid w:val="000E5B20"/>
    <w:rsid w:val="000E7C14"/>
    <w:rsid w:val="000F094C"/>
    <w:rsid w:val="000F18A2"/>
    <w:rsid w:val="000F2A7F"/>
    <w:rsid w:val="000F3786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E00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6FB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097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DB8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5EA0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B46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A07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2E4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6CF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0A1"/>
    <w:rsid w:val="00573401"/>
    <w:rsid w:val="00576714"/>
    <w:rsid w:val="0057685A"/>
    <w:rsid w:val="005847EF"/>
    <w:rsid w:val="005851E6"/>
    <w:rsid w:val="005878B7"/>
    <w:rsid w:val="00592C9A"/>
    <w:rsid w:val="00593DF8"/>
    <w:rsid w:val="0059494C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C5D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21B"/>
    <w:rsid w:val="0066485B"/>
    <w:rsid w:val="006649E7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BF1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0C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46B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D39"/>
    <w:rsid w:val="00823E4C"/>
    <w:rsid w:val="00827749"/>
    <w:rsid w:val="00827B7E"/>
    <w:rsid w:val="00830EEB"/>
    <w:rsid w:val="008347A9"/>
    <w:rsid w:val="00835628"/>
    <w:rsid w:val="00835E90"/>
    <w:rsid w:val="00837397"/>
    <w:rsid w:val="0084176D"/>
    <w:rsid w:val="008423E4"/>
    <w:rsid w:val="00842900"/>
    <w:rsid w:val="00842A84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3F0"/>
    <w:rsid w:val="008824B0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41C"/>
    <w:rsid w:val="008C3FD0"/>
    <w:rsid w:val="008C4166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20"/>
    <w:rsid w:val="009320D2"/>
    <w:rsid w:val="00932C77"/>
    <w:rsid w:val="0093417F"/>
    <w:rsid w:val="00934AC2"/>
    <w:rsid w:val="0093628C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533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E52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590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742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DD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A5C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0BF"/>
    <w:rsid w:val="00B96E87"/>
    <w:rsid w:val="00BA146A"/>
    <w:rsid w:val="00BA32EE"/>
    <w:rsid w:val="00BA717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6D9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C25"/>
    <w:rsid w:val="00C90471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113"/>
    <w:rsid w:val="00D512E0"/>
    <w:rsid w:val="00D519F3"/>
    <w:rsid w:val="00D51D2A"/>
    <w:rsid w:val="00D53B7C"/>
    <w:rsid w:val="00D55F52"/>
    <w:rsid w:val="00D56508"/>
    <w:rsid w:val="00D56BB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4C2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2BA"/>
    <w:rsid w:val="00DF4D90"/>
    <w:rsid w:val="00DF5EBD"/>
    <w:rsid w:val="00DF6BA8"/>
    <w:rsid w:val="00DF78EA"/>
    <w:rsid w:val="00DF7CA3"/>
    <w:rsid w:val="00DF7F05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053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1F531A-706B-4621-89B6-2E224CE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70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7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70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0A1"/>
    <w:rPr>
      <w:b/>
      <w:bCs/>
    </w:rPr>
  </w:style>
  <w:style w:type="paragraph" w:styleId="Revision">
    <w:name w:val="Revision"/>
    <w:hidden/>
    <w:uiPriority w:val="99"/>
    <w:semiHidden/>
    <w:rsid w:val="00567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4462</Characters>
  <Application>Microsoft Office Word</Application>
  <DocSecurity>4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HB04051 (Committee Report (Substituted))</vt:lpstr>
    </vt:vector>
  </TitlesOfParts>
  <Company>State of Texas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23150</dc:subject>
  <dc:creator>State of Texas</dc:creator>
  <dc:description>HB 4051 by Frank-(H)Insurance (Substitute Document Number: 87R 18910)</dc:description>
  <cp:lastModifiedBy>Stacey Nicchio</cp:lastModifiedBy>
  <cp:revision>2</cp:revision>
  <cp:lastPrinted>2003-11-26T17:21:00Z</cp:lastPrinted>
  <dcterms:created xsi:type="dcterms:W3CDTF">2021-04-27T23:37:00Z</dcterms:created>
  <dcterms:modified xsi:type="dcterms:W3CDTF">2021-04-27T23:37:00Z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21.117.653</vt:lpwstr>
  </property>
</Properties>
</file>