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13D24" w14:paraId="2A364CD2" w14:textId="77777777" w:rsidTr="00345119">
        <w:tc>
          <w:tcPr>
            <w:tcW w:w="9576" w:type="dxa"/>
            <w:noWrap/>
          </w:tcPr>
          <w:p w14:paraId="541E51D5" w14:textId="77777777" w:rsidR="008423E4" w:rsidRPr="0022177D" w:rsidRDefault="00632D7E" w:rsidP="00146D5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2DD21C" w14:textId="77777777" w:rsidR="008423E4" w:rsidRPr="0022177D" w:rsidRDefault="008423E4" w:rsidP="008423E4">
      <w:pPr>
        <w:jc w:val="center"/>
      </w:pPr>
    </w:p>
    <w:p w14:paraId="78E22A06" w14:textId="77777777" w:rsidR="008423E4" w:rsidRPr="00B31F0E" w:rsidRDefault="008423E4" w:rsidP="008423E4"/>
    <w:p w14:paraId="17732EAE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3D24" w14:paraId="007321AE" w14:textId="77777777" w:rsidTr="00345119">
        <w:tc>
          <w:tcPr>
            <w:tcW w:w="9576" w:type="dxa"/>
          </w:tcPr>
          <w:p w14:paraId="38D28CDF" w14:textId="77777777" w:rsidR="008423E4" w:rsidRPr="00861995" w:rsidRDefault="00632D7E" w:rsidP="00345119">
            <w:pPr>
              <w:jc w:val="right"/>
            </w:pPr>
            <w:r>
              <w:t>C.S.H.B. 4078</w:t>
            </w:r>
          </w:p>
        </w:tc>
      </w:tr>
      <w:tr w:rsidR="00913D24" w14:paraId="3126D6D6" w14:textId="77777777" w:rsidTr="00345119">
        <w:tc>
          <w:tcPr>
            <w:tcW w:w="9576" w:type="dxa"/>
          </w:tcPr>
          <w:p w14:paraId="5BDFBB71" w14:textId="77777777" w:rsidR="008423E4" w:rsidRPr="00861995" w:rsidRDefault="00632D7E" w:rsidP="00345119">
            <w:pPr>
              <w:jc w:val="right"/>
            </w:pPr>
            <w:r>
              <w:t xml:space="preserve">By: </w:t>
            </w:r>
            <w:r w:rsidR="00277823">
              <w:t>Bonnen</w:t>
            </w:r>
          </w:p>
        </w:tc>
      </w:tr>
      <w:tr w:rsidR="00913D24" w14:paraId="136AE3F3" w14:textId="77777777" w:rsidTr="00345119">
        <w:tc>
          <w:tcPr>
            <w:tcW w:w="9576" w:type="dxa"/>
          </w:tcPr>
          <w:p w14:paraId="3A0CAD8E" w14:textId="77777777" w:rsidR="008423E4" w:rsidRPr="00861995" w:rsidRDefault="00632D7E" w:rsidP="00345119">
            <w:pPr>
              <w:jc w:val="right"/>
            </w:pPr>
            <w:r>
              <w:t>Pensions, Investments &amp; Financial Services</w:t>
            </w:r>
          </w:p>
        </w:tc>
      </w:tr>
      <w:tr w:rsidR="00913D24" w14:paraId="4D848E42" w14:textId="77777777" w:rsidTr="00345119">
        <w:tc>
          <w:tcPr>
            <w:tcW w:w="9576" w:type="dxa"/>
          </w:tcPr>
          <w:p w14:paraId="06B7A012" w14:textId="77777777" w:rsidR="008423E4" w:rsidRDefault="00632D7E" w:rsidP="00345119">
            <w:pPr>
              <w:jc w:val="right"/>
            </w:pPr>
            <w:r>
              <w:t>Committee Report (Substituted)</w:t>
            </w:r>
          </w:p>
        </w:tc>
      </w:tr>
    </w:tbl>
    <w:p w14:paraId="71524AE5" w14:textId="77777777" w:rsidR="008423E4" w:rsidRDefault="008423E4" w:rsidP="008423E4">
      <w:pPr>
        <w:tabs>
          <w:tab w:val="right" w:pos="9360"/>
        </w:tabs>
      </w:pPr>
    </w:p>
    <w:p w14:paraId="7D1039FC" w14:textId="77777777" w:rsidR="008423E4" w:rsidRDefault="008423E4" w:rsidP="008423E4"/>
    <w:p w14:paraId="728D700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13D24" w14:paraId="5D18952E" w14:textId="77777777" w:rsidTr="00345119">
        <w:tc>
          <w:tcPr>
            <w:tcW w:w="9576" w:type="dxa"/>
          </w:tcPr>
          <w:p w14:paraId="3710BE80" w14:textId="77777777" w:rsidR="008423E4" w:rsidRPr="00A8133F" w:rsidRDefault="00632D7E" w:rsidP="0014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8690041" w14:textId="77777777" w:rsidR="008423E4" w:rsidRDefault="008423E4" w:rsidP="00146D54"/>
          <w:p w14:paraId="0F3B8998" w14:textId="63681C1F" w:rsidR="008423E4" w:rsidRDefault="00632D7E" w:rsidP="00146D54">
            <w:pPr>
              <w:pStyle w:val="Header"/>
              <w:jc w:val="both"/>
            </w:pPr>
            <w:r>
              <w:t xml:space="preserve">It has been noted that certain school districts are required to participate in the uniform group coverage program </w:t>
            </w:r>
            <w:r w:rsidR="00C009AD">
              <w:t>for active school employees</w:t>
            </w:r>
            <w:r w:rsidR="00AD39B5">
              <w:t xml:space="preserve"> known as TRS-Active</w:t>
            </w:r>
            <w:r w:rsidR="00FE5802">
              <w:t xml:space="preserve"> </w:t>
            </w:r>
            <w:r w:rsidR="007732B7">
              <w:t>Care</w:t>
            </w:r>
            <w:r>
              <w:t xml:space="preserve">. This lack of choice </w:t>
            </w:r>
            <w:r w:rsidR="007732B7">
              <w:t xml:space="preserve">can </w:t>
            </w:r>
            <w:r>
              <w:t xml:space="preserve">lead to high costs and reduced benefits for </w:t>
            </w:r>
            <w:r w:rsidR="00222E35">
              <w:t>teachers</w:t>
            </w:r>
            <w:r>
              <w:t>.</w:t>
            </w:r>
            <w:r w:rsidR="00D53FDA">
              <w:t xml:space="preserve"> Data from school districts that have opted</w:t>
            </w:r>
            <w:r w:rsidR="00FE5802">
              <w:t xml:space="preserve"> </w:t>
            </w:r>
            <w:r w:rsidR="00D53FDA">
              <w:t xml:space="preserve">out of this program suggests </w:t>
            </w:r>
            <w:r w:rsidR="00A95AC0">
              <w:t>that families</w:t>
            </w:r>
            <w:r w:rsidR="00C009AD">
              <w:t xml:space="preserve"> may be able to</w:t>
            </w:r>
            <w:r w:rsidR="00A95AC0">
              <w:t xml:space="preserve"> save more </w:t>
            </w:r>
            <w:r>
              <w:t>money</w:t>
            </w:r>
            <w:r w:rsidR="00D53FDA">
              <w:t xml:space="preserve"> on premiums and deductibles</w:t>
            </w:r>
            <w:r>
              <w:t xml:space="preserve"> </w:t>
            </w:r>
            <w:r w:rsidR="00A95AC0">
              <w:t xml:space="preserve">on health plans outside </w:t>
            </w:r>
            <w:r w:rsidR="008D6A29">
              <w:t>of the</w:t>
            </w:r>
            <w:r w:rsidR="00222E35">
              <w:t xml:space="preserve"> program</w:t>
            </w:r>
            <w:r w:rsidR="00A95AC0">
              <w:t xml:space="preserve">. </w:t>
            </w:r>
            <w:r>
              <w:t>C.S.</w:t>
            </w:r>
            <w:r w:rsidR="00A95AC0">
              <w:t xml:space="preserve">H.B. 4078 </w:t>
            </w:r>
            <w:r>
              <w:t xml:space="preserve">seeks </w:t>
            </w:r>
            <w:r w:rsidR="00A95AC0">
              <w:t xml:space="preserve">to </w:t>
            </w:r>
            <w:r>
              <w:t xml:space="preserve">provide added </w:t>
            </w:r>
            <w:r w:rsidR="00A95AC0">
              <w:t>local control to health care insurance options</w:t>
            </w:r>
            <w:r>
              <w:t xml:space="preserve"> for school employees</w:t>
            </w:r>
            <w:r w:rsidR="00574CA1">
              <w:t xml:space="preserve"> by</w:t>
            </w:r>
            <w:r>
              <w:t xml:space="preserve"> </w:t>
            </w:r>
            <w:r w:rsidR="00AD39B5">
              <w:t>giving</w:t>
            </w:r>
            <w:r>
              <w:t xml:space="preserve"> an entity participating in </w:t>
            </w:r>
            <w:r w:rsidR="00AD39B5">
              <w:t>the program the option</w:t>
            </w:r>
            <w:r w:rsidR="00562092">
              <w:t xml:space="preserve"> </w:t>
            </w:r>
            <w:r>
              <w:t>to discontinue participation</w:t>
            </w:r>
            <w:r w:rsidR="00A95AC0">
              <w:t>.</w:t>
            </w:r>
          </w:p>
          <w:p w14:paraId="7A1A46BC" w14:textId="77777777" w:rsidR="008423E4" w:rsidRPr="00E26B13" w:rsidRDefault="008423E4" w:rsidP="00146D54">
            <w:pPr>
              <w:rPr>
                <w:b/>
              </w:rPr>
            </w:pPr>
          </w:p>
        </w:tc>
      </w:tr>
      <w:tr w:rsidR="00913D24" w14:paraId="0D3C6F27" w14:textId="77777777" w:rsidTr="00345119">
        <w:tc>
          <w:tcPr>
            <w:tcW w:w="9576" w:type="dxa"/>
          </w:tcPr>
          <w:p w14:paraId="131FDB5B" w14:textId="77777777" w:rsidR="0017725B" w:rsidRDefault="00632D7E" w:rsidP="00146D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82EFD23" w14:textId="77777777" w:rsidR="0017725B" w:rsidRDefault="0017725B" w:rsidP="00146D54">
            <w:pPr>
              <w:rPr>
                <w:b/>
                <w:u w:val="single"/>
              </w:rPr>
            </w:pPr>
          </w:p>
          <w:p w14:paraId="4DB201B4" w14:textId="77777777" w:rsidR="00D23096" w:rsidRPr="00D23096" w:rsidRDefault="00632D7E" w:rsidP="00146D54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40F83600" w14:textId="77777777" w:rsidR="0017725B" w:rsidRPr="0017725B" w:rsidRDefault="0017725B" w:rsidP="00146D54">
            <w:pPr>
              <w:rPr>
                <w:b/>
                <w:u w:val="single"/>
              </w:rPr>
            </w:pPr>
          </w:p>
        </w:tc>
      </w:tr>
      <w:tr w:rsidR="00913D24" w14:paraId="432490E7" w14:textId="77777777" w:rsidTr="00345119">
        <w:tc>
          <w:tcPr>
            <w:tcW w:w="9576" w:type="dxa"/>
          </w:tcPr>
          <w:p w14:paraId="6280D3C7" w14:textId="77777777" w:rsidR="008423E4" w:rsidRPr="00A8133F" w:rsidRDefault="00632D7E" w:rsidP="0014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349645F" w14:textId="77777777" w:rsidR="008423E4" w:rsidRDefault="008423E4" w:rsidP="00146D54"/>
          <w:p w14:paraId="319C3348" w14:textId="77777777" w:rsidR="00D23096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</w:t>
            </w:r>
            <w:r>
              <w:t xml:space="preserve">ed to the </w:t>
            </w:r>
            <w:r w:rsidRPr="00D23096">
              <w:t xml:space="preserve">Teacher Retirement System of Texas </w:t>
            </w:r>
            <w:r>
              <w:t>in SECTION 2 of this bill.</w:t>
            </w:r>
          </w:p>
          <w:p w14:paraId="50680F6C" w14:textId="77777777" w:rsidR="008423E4" w:rsidRPr="00E21FDC" w:rsidRDefault="008423E4" w:rsidP="00146D54">
            <w:pPr>
              <w:rPr>
                <w:b/>
              </w:rPr>
            </w:pPr>
          </w:p>
        </w:tc>
      </w:tr>
      <w:tr w:rsidR="00913D24" w14:paraId="2A6FFE46" w14:textId="77777777" w:rsidTr="00345119">
        <w:tc>
          <w:tcPr>
            <w:tcW w:w="9576" w:type="dxa"/>
          </w:tcPr>
          <w:p w14:paraId="6CD7D29F" w14:textId="77777777" w:rsidR="008423E4" w:rsidRPr="00A8133F" w:rsidRDefault="00632D7E" w:rsidP="0014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B7FC66" w14:textId="77777777" w:rsidR="008423E4" w:rsidRDefault="008423E4" w:rsidP="00146D54"/>
          <w:p w14:paraId="2595FFAA" w14:textId="45B43A35" w:rsidR="009C36CD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D23ED">
              <w:t xml:space="preserve">C.S.H.B. 4078 amends the Insurance Code to </w:t>
            </w:r>
            <w:r w:rsidR="007D1F57">
              <w:t xml:space="preserve">authorize an entity participating in the </w:t>
            </w:r>
            <w:r w:rsidR="00AA0E78" w:rsidRPr="007D1F57">
              <w:t xml:space="preserve">uniform group coverage </w:t>
            </w:r>
            <w:r w:rsidR="0035236F" w:rsidRPr="007D1F57">
              <w:t>program</w:t>
            </w:r>
            <w:r w:rsidR="00AA0E78" w:rsidRPr="007D1F57">
              <w:t xml:space="preserve"> for active school employees</w:t>
            </w:r>
            <w:r w:rsidR="00CE7825">
              <w:t>, effective September 1, 2022,</w:t>
            </w:r>
            <w:r w:rsidR="004921B8">
              <w:t xml:space="preserve"> </w:t>
            </w:r>
            <w:r w:rsidR="0035236F">
              <w:t xml:space="preserve">to </w:t>
            </w:r>
            <w:r w:rsidR="0035236F" w:rsidRPr="0035236F">
              <w:t>elect to discontinue the entity's participation in the program by providing written notice to the Teacher Retirement System of Texas</w:t>
            </w:r>
            <w:r w:rsidR="0035236F">
              <w:t xml:space="preserve"> (TRS) not later than December 31</w:t>
            </w:r>
            <w:r w:rsidR="0035236F" w:rsidRPr="0035236F">
              <w:t xml:space="preserve"> of the year preceding the first day of the plan year in which the election will be effective</w:t>
            </w:r>
            <w:r w:rsidR="0030341C">
              <w:t>. With respect to an entity that makes such an election, the bill provides the following:</w:t>
            </w:r>
          </w:p>
          <w:p w14:paraId="79B6CC78" w14:textId="3B384B7C" w:rsidR="003E5E53" w:rsidRDefault="00632D7E" w:rsidP="00146D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="0035236F">
              <w:t xml:space="preserve"> </w:t>
            </w:r>
            <w:r w:rsidR="0035236F" w:rsidRPr="0030341C">
              <w:t xml:space="preserve">entity </w:t>
            </w:r>
            <w:r>
              <w:t>may not elect</w:t>
            </w:r>
            <w:r w:rsidR="0035236F" w:rsidRPr="0030341C">
              <w:t xml:space="preserve"> to participate in the program until the fifth anniversary of the effective date of the entity's election to discontinue participation</w:t>
            </w:r>
            <w:r>
              <w:t xml:space="preserve">; </w:t>
            </w:r>
            <w:r w:rsidR="00050572" w:rsidRPr="0030341C">
              <w:t>and</w:t>
            </w:r>
          </w:p>
          <w:p w14:paraId="11DA118B" w14:textId="40A758C8" w:rsidR="00996701" w:rsidRDefault="00632D7E" w:rsidP="00146D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entity may not again elect to discontinue participation after resuming participation</w:t>
            </w:r>
            <w:r w:rsidR="000D2CD0" w:rsidRPr="0030341C">
              <w:t xml:space="preserve"> </w:t>
            </w:r>
            <w:r w:rsidR="0035236F" w:rsidRPr="0030341C">
              <w:t xml:space="preserve">until the fifth anniversary of the effective date of </w:t>
            </w:r>
            <w:r>
              <w:t>the election to resume participation.</w:t>
            </w:r>
          </w:p>
          <w:p w14:paraId="3C5ED7F5" w14:textId="7C883698" w:rsidR="00D23096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Effective</w:t>
            </w:r>
            <w:r w:rsidR="00996701">
              <w:t xml:space="preserve"> September 1, 2022,</w:t>
            </w:r>
            <w:r w:rsidR="0035236F">
              <w:t xml:space="preserve"> an entity that </w:t>
            </w:r>
            <w:r w:rsidR="0035236F" w:rsidRPr="0035236F">
              <w:t xml:space="preserve">elects to participate in the program </w:t>
            </w:r>
            <w:r>
              <w:t>must</w:t>
            </w:r>
            <w:r w:rsidR="0035236F" w:rsidRPr="0035236F">
              <w:t xml:space="preserve"> provide written notice to </w:t>
            </w:r>
            <w:r w:rsidR="0035236F">
              <w:t>TRS</w:t>
            </w:r>
            <w:r w:rsidR="0035236F" w:rsidRPr="0035236F">
              <w:t xml:space="preserve"> not later than December 31 of the year preceding the first day of the plan year in which the election will be effective</w:t>
            </w:r>
            <w:r w:rsidR="00996701">
              <w:t>. The bill prohibits the</w:t>
            </w:r>
            <w:r>
              <w:t xml:space="preserve"> entity from electing to discontinue part</w:t>
            </w:r>
            <w:r>
              <w:t xml:space="preserve">icipation </w:t>
            </w:r>
            <w:r w:rsidRPr="00D23096">
              <w:t>until the fifth anniversary of the effective date of the entity's election to participate</w:t>
            </w:r>
            <w:r>
              <w:t>.</w:t>
            </w:r>
            <w:r w:rsidR="00CF02FF">
              <w:t xml:space="preserve"> </w:t>
            </w:r>
            <w:r>
              <w:t xml:space="preserve">The bill requires TRS by rule to </w:t>
            </w:r>
            <w:r w:rsidRPr="00D23096">
              <w:t xml:space="preserve">prescribe the time and manner for making </w:t>
            </w:r>
            <w:r w:rsidRPr="00CF02FF">
              <w:t>an election</w:t>
            </w:r>
            <w:r w:rsidR="00CF02FF">
              <w:t xml:space="preserve"> relating to program participation</w:t>
            </w:r>
            <w:r>
              <w:t xml:space="preserve"> and authorizes TRS to adopt rules n</w:t>
            </w:r>
            <w:r>
              <w:t xml:space="preserve">ecessary to administer the </w:t>
            </w:r>
            <w:r w:rsidR="00CF02FF">
              <w:t>bill's provisions relating to such elections</w:t>
            </w:r>
            <w:r>
              <w:t xml:space="preserve">. </w:t>
            </w:r>
          </w:p>
          <w:p w14:paraId="16B30294" w14:textId="7006987B" w:rsidR="005D23ED" w:rsidRDefault="005D23ED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14871E" w14:textId="2B46FD0A" w:rsidR="005D23ED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4078 prohibits an </w:t>
            </w:r>
            <w:r w:rsidRPr="005D23ED">
              <w:t>entity participating in the program</w:t>
            </w:r>
            <w:r>
              <w:t xml:space="preserve"> from offering or making available </w:t>
            </w:r>
            <w:r w:rsidRPr="00B65175">
              <w:t>to the entity's employees or their dependents group health coverage not provided und</w:t>
            </w:r>
            <w:r w:rsidRPr="00B65175">
              <w:t>er th</w:t>
            </w:r>
            <w:r>
              <w:t>e</w:t>
            </w:r>
            <w:r w:rsidRPr="00B65175">
              <w:t xml:space="preserve"> program</w:t>
            </w:r>
            <w:r>
              <w:t>.</w:t>
            </w:r>
          </w:p>
          <w:p w14:paraId="2D262447" w14:textId="4B7C857E" w:rsidR="00D53E08" w:rsidRDefault="00D53E08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31A165B" w14:textId="4ED2E163" w:rsidR="00D53E08" w:rsidRPr="009C36CD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4078 applies only to group coverage provided for a plan year beginning on or after September 1, 2022. </w:t>
            </w:r>
          </w:p>
          <w:p w14:paraId="1D8FA314" w14:textId="77777777" w:rsidR="008423E4" w:rsidRPr="00835628" w:rsidRDefault="008423E4" w:rsidP="00146D54">
            <w:pPr>
              <w:rPr>
                <w:b/>
              </w:rPr>
            </w:pPr>
          </w:p>
        </w:tc>
      </w:tr>
      <w:tr w:rsidR="00913D24" w14:paraId="71367E44" w14:textId="77777777" w:rsidTr="00345119">
        <w:tc>
          <w:tcPr>
            <w:tcW w:w="9576" w:type="dxa"/>
          </w:tcPr>
          <w:p w14:paraId="257A8C43" w14:textId="77777777" w:rsidR="008423E4" w:rsidRPr="00A8133F" w:rsidRDefault="00632D7E" w:rsidP="00146D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63AF18" w14:textId="77777777" w:rsidR="008423E4" w:rsidRDefault="008423E4" w:rsidP="00146D54"/>
          <w:p w14:paraId="304113DF" w14:textId="77777777" w:rsidR="008423E4" w:rsidRPr="003624F2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BA417EB" w14:textId="77777777" w:rsidR="008423E4" w:rsidRPr="00233FDB" w:rsidRDefault="008423E4" w:rsidP="00146D54">
            <w:pPr>
              <w:rPr>
                <w:b/>
              </w:rPr>
            </w:pPr>
          </w:p>
        </w:tc>
      </w:tr>
      <w:tr w:rsidR="00913D24" w14:paraId="6064C1A4" w14:textId="77777777" w:rsidTr="00345119">
        <w:tc>
          <w:tcPr>
            <w:tcW w:w="9576" w:type="dxa"/>
          </w:tcPr>
          <w:p w14:paraId="5296E61F" w14:textId="77777777" w:rsidR="00277823" w:rsidRDefault="00632D7E" w:rsidP="00146D5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2071100" w14:textId="77777777" w:rsidR="00D23096" w:rsidRDefault="00D23096" w:rsidP="00146D54">
            <w:pPr>
              <w:jc w:val="both"/>
            </w:pPr>
          </w:p>
          <w:p w14:paraId="6423E964" w14:textId="77777777" w:rsidR="00D23096" w:rsidRDefault="00632D7E" w:rsidP="00146D54">
            <w:pPr>
              <w:jc w:val="both"/>
            </w:pPr>
            <w:r>
              <w:t>While C.S.H.B. 4078 may differ from the original</w:t>
            </w:r>
            <w:r>
              <w:t xml:space="preserve"> in minor or nonsubstantive ways, the following summarizes the substantial differences between the introduced and committee substitute versions of the bill.</w:t>
            </w:r>
          </w:p>
          <w:p w14:paraId="50BD8A9B" w14:textId="77777777" w:rsidR="00D23096" w:rsidRDefault="00D23096" w:rsidP="00146D54">
            <w:pPr>
              <w:jc w:val="both"/>
            </w:pPr>
          </w:p>
          <w:p w14:paraId="324A84CF" w14:textId="3F2CC0A8" w:rsidR="00570288" w:rsidRDefault="00632D7E" w:rsidP="00146D54">
            <w:pPr>
              <w:jc w:val="both"/>
            </w:pPr>
            <w:r>
              <w:t>The original included provisions that did the following:</w:t>
            </w:r>
          </w:p>
          <w:p w14:paraId="172FFED5" w14:textId="347468D1" w:rsidR="00295DC8" w:rsidRDefault="00632D7E" w:rsidP="00146D5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repealed </w:t>
            </w:r>
            <w:r w:rsidR="00AD39B5">
              <w:t>the requirement for</w:t>
            </w:r>
            <w:r>
              <w:t xml:space="preserve"> certain scho</w:t>
            </w:r>
            <w:r>
              <w:t xml:space="preserve">ol districts </w:t>
            </w:r>
            <w:r w:rsidR="00AD39B5">
              <w:t xml:space="preserve">to participate in the program </w:t>
            </w:r>
            <w:r>
              <w:t xml:space="preserve">and provisions relating to participation by certain risk pools and </w:t>
            </w:r>
            <w:r w:rsidR="007D1F57">
              <w:t>made related changes to the</w:t>
            </w:r>
            <w:r>
              <w:t xml:space="preserve"> applicability of provisions authorizing participation in the program; </w:t>
            </w:r>
          </w:p>
          <w:p w14:paraId="728ADC68" w14:textId="7ACE4B99" w:rsidR="00570288" w:rsidRDefault="00632D7E" w:rsidP="00146D5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authorized a district or risk pool to elect not</w:t>
            </w:r>
            <w:r>
              <w:t xml:space="preserve"> to participate in the program notwithstanding any previous election or requirement to participate; and </w:t>
            </w:r>
          </w:p>
          <w:p w14:paraId="05EAF220" w14:textId="3F84A8D8" w:rsidR="00570288" w:rsidRDefault="00632D7E" w:rsidP="00146D5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authorized TRS to establish by rule a regional rating method for determining </w:t>
            </w:r>
            <w:r w:rsidR="00295DC8">
              <w:t xml:space="preserve">program </w:t>
            </w:r>
            <w:r>
              <w:t>premiums</w:t>
            </w:r>
            <w:r w:rsidR="00295DC8">
              <w:t xml:space="preserve"> charged in different regions of the state</w:t>
            </w:r>
            <w:r>
              <w:t>.</w:t>
            </w:r>
          </w:p>
          <w:p w14:paraId="01819B03" w14:textId="582B02D0" w:rsidR="00295DC8" w:rsidRDefault="00632D7E" w:rsidP="00146D54">
            <w:pPr>
              <w:jc w:val="both"/>
            </w:pPr>
            <w:r>
              <w:t>The substitute</w:t>
            </w:r>
            <w:r>
              <w:t xml:space="preserve"> does not include </w:t>
            </w:r>
            <w:r w:rsidR="00570288">
              <w:t>any of the original's provisions</w:t>
            </w:r>
            <w:r>
              <w:t xml:space="preserve"> </w:t>
            </w:r>
            <w:r w:rsidR="00022029">
              <w:t>and</w:t>
            </w:r>
            <w:r w:rsidR="007D3CCC">
              <w:t xml:space="preserve"> </w:t>
            </w:r>
            <w:r>
              <w:t>instead</w:t>
            </w:r>
            <w:r w:rsidR="007D3CCC">
              <w:t xml:space="preserve"> authorizes a participating entity</w:t>
            </w:r>
            <w:r w:rsidR="00F5409A">
              <w:t>, effective September 1, 2022,</w:t>
            </w:r>
            <w:r w:rsidR="007D3CCC">
              <w:t xml:space="preserve"> to elect to discontinue participation in the program by providing written notice to TRS. </w:t>
            </w:r>
            <w:r w:rsidR="00D23096">
              <w:t xml:space="preserve">The substitute includes </w:t>
            </w:r>
            <w:r w:rsidR="007D3CCC">
              <w:t xml:space="preserve">additional </w:t>
            </w:r>
            <w:r w:rsidR="00D23096">
              <w:t>provisions</w:t>
            </w:r>
            <w:r w:rsidR="007D3CCC">
              <w:t xml:space="preserve"> absent from the original</w:t>
            </w:r>
            <w:r w:rsidR="007732B7">
              <w:t xml:space="preserve"> </w:t>
            </w:r>
            <w:r w:rsidR="00D23096">
              <w:t>relating to</w:t>
            </w:r>
            <w:r w:rsidR="007D3CCC">
              <w:t xml:space="preserve"> </w:t>
            </w:r>
            <w:r w:rsidR="00022029">
              <w:t>program participation</w:t>
            </w:r>
            <w:r w:rsidR="007D3CCC">
              <w:t xml:space="preserve"> election</w:t>
            </w:r>
            <w:r w:rsidR="00022029">
              <w:t>s</w:t>
            </w:r>
            <w:r w:rsidR="007D3CCC">
              <w:t xml:space="preserve">, including </w:t>
            </w:r>
            <w:r w:rsidR="00827790">
              <w:t xml:space="preserve">provisions locking an entity into an election for five years, a requirement for entities electing to participate in the program to provide notice, and </w:t>
            </w:r>
            <w:r>
              <w:t>provisions relating</w:t>
            </w:r>
            <w:r>
              <w:t xml:space="preserve"> to TRS rulemaking</w:t>
            </w:r>
            <w:r w:rsidR="00EA78E9">
              <w:t xml:space="preserve">. </w:t>
            </w:r>
          </w:p>
          <w:p w14:paraId="079D410B" w14:textId="77777777" w:rsidR="00295DC8" w:rsidRDefault="00295DC8" w:rsidP="00146D54">
            <w:pPr>
              <w:jc w:val="both"/>
            </w:pPr>
          </w:p>
          <w:p w14:paraId="7A1CE8E6" w14:textId="0A9321FF" w:rsidR="00D53FDA" w:rsidRDefault="00632D7E" w:rsidP="00146D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substitute</w:t>
            </w:r>
            <w:r w:rsidR="00827790">
              <w:t xml:space="preserve"> also</w:t>
            </w:r>
            <w:r>
              <w:t xml:space="preserve"> includes the following </w:t>
            </w:r>
            <w:r w:rsidR="00F5409A">
              <w:t>provision</w:t>
            </w:r>
            <w:r>
              <w:t>s</w:t>
            </w:r>
            <w:r w:rsidR="007D3CCC">
              <w:t xml:space="preserve"> </w:t>
            </w:r>
            <w:r>
              <w:t>absent from the original:</w:t>
            </w:r>
          </w:p>
          <w:p w14:paraId="6020A490" w14:textId="3E8941C4" w:rsidR="00D53FDA" w:rsidRDefault="00632D7E" w:rsidP="00146D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provision </w:t>
            </w:r>
            <w:r w:rsidR="00F5409A">
              <w:t>prohibiting</w:t>
            </w:r>
            <w:r w:rsidR="007D3CCC">
              <w:t xml:space="preserve"> a participating entity</w:t>
            </w:r>
            <w:r w:rsidR="00827790">
              <w:t xml:space="preserve"> </w:t>
            </w:r>
            <w:r w:rsidR="007D3CCC">
              <w:t>from offering or making available to the entity's employees or their dependents group health coverage not provided under the program</w:t>
            </w:r>
            <w:r>
              <w:t xml:space="preserve">; and </w:t>
            </w:r>
          </w:p>
          <w:p w14:paraId="17EADA48" w14:textId="13092016" w:rsidR="00D53FDA" w:rsidRPr="009C36CD" w:rsidRDefault="00632D7E" w:rsidP="00146D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provision specifying that the bill applies only to group coverage provided for a plan year beginning on or after September 1, 2022. </w:t>
            </w:r>
          </w:p>
          <w:p w14:paraId="127B2EA8" w14:textId="6601DE33" w:rsidR="00D23096" w:rsidRDefault="00D23096" w:rsidP="00146D54">
            <w:pPr>
              <w:jc w:val="both"/>
            </w:pPr>
          </w:p>
          <w:p w14:paraId="1AB9AE69" w14:textId="77777777" w:rsidR="00D23096" w:rsidRPr="00D23096" w:rsidRDefault="00D23096" w:rsidP="00146D54">
            <w:pPr>
              <w:jc w:val="both"/>
            </w:pPr>
          </w:p>
        </w:tc>
      </w:tr>
      <w:tr w:rsidR="00913D24" w14:paraId="1AA0ACD3" w14:textId="77777777" w:rsidTr="00345119">
        <w:tc>
          <w:tcPr>
            <w:tcW w:w="9576" w:type="dxa"/>
          </w:tcPr>
          <w:p w14:paraId="1465A612" w14:textId="77777777" w:rsidR="00277823" w:rsidRPr="009C1E9A" w:rsidRDefault="00277823" w:rsidP="00146D54">
            <w:pPr>
              <w:rPr>
                <w:b/>
                <w:u w:val="single"/>
              </w:rPr>
            </w:pPr>
          </w:p>
        </w:tc>
      </w:tr>
      <w:tr w:rsidR="00913D24" w14:paraId="6B7D2282" w14:textId="77777777" w:rsidTr="00345119">
        <w:tc>
          <w:tcPr>
            <w:tcW w:w="9576" w:type="dxa"/>
          </w:tcPr>
          <w:p w14:paraId="2112DB8B" w14:textId="77777777" w:rsidR="00277823" w:rsidRPr="00277823" w:rsidRDefault="00277823" w:rsidP="00146D54">
            <w:pPr>
              <w:jc w:val="both"/>
            </w:pPr>
          </w:p>
        </w:tc>
      </w:tr>
    </w:tbl>
    <w:p w14:paraId="3AA1CC37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6C241E8A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1629" w14:textId="77777777" w:rsidR="00000000" w:rsidRDefault="00632D7E">
      <w:r>
        <w:separator/>
      </w:r>
    </w:p>
  </w:endnote>
  <w:endnote w:type="continuationSeparator" w:id="0">
    <w:p w14:paraId="68F9F0B6" w14:textId="77777777" w:rsidR="00000000" w:rsidRDefault="0063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4B1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3D24" w14:paraId="6CF463F3" w14:textId="77777777" w:rsidTr="009C1E9A">
      <w:trPr>
        <w:cantSplit/>
      </w:trPr>
      <w:tc>
        <w:tcPr>
          <w:tcW w:w="0" w:type="pct"/>
        </w:tcPr>
        <w:p w14:paraId="5C72B0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D9DD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211EA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A1F5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5F09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3D24" w14:paraId="28E1F62B" w14:textId="77777777" w:rsidTr="009C1E9A">
      <w:trPr>
        <w:cantSplit/>
      </w:trPr>
      <w:tc>
        <w:tcPr>
          <w:tcW w:w="0" w:type="pct"/>
        </w:tcPr>
        <w:p w14:paraId="76AB5C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F886BE" w14:textId="77777777" w:rsidR="00EC379B" w:rsidRPr="009C1E9A" w:rsidRDefault="00632D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25415</w:t>
          </w:r>
        </w:p>
      </w:tc>
      <w:tc>
        <w:tcPr>
          <w:tcW w:w="2453" w:type="pct"/>
        </w:tcPr>
        <w:p w14:paraId="2755FD45" w14:textId="576D8D95" w:rsidR="00EC379B" w:rsidRDefault="00632D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3247E">
            <w:t>21.126.2617</w:t>
          </w:r>
          <w:r>
            <w:fldChar w:fldCharType="end"/>
          </w:r>
        </w:p>
      </w:tc>
    </w:tr>
    <w:tr w:rsidR="00913D24" w14:paraId="5ED9A669" w14:textId="77777777" w:rsidTr="009C1E9A">
      <w:trPr>
        <w:cantSplit/>
      </w:trPr>
      <w:tc>
        <w:tcPr>
          <w:tcW w:w="0" w:type="pct"/>
        </w:tcPr>
        <w:p w14:paraId="7FAD88A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5FDE2F" w14:textId="77777777" w:rsidR="00EC379B" w:rsidRPr="009C1E9A" w:rsidRDefault="00632D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21081</w:t>
          </w:r>
        </w:p>
      </w:tc>
      <w:tc>
        <w:tcPr>
          <w:tcW w:w="2453" w:type="pct"/>
        </w:tcPr>
        <w:p w14:paraId="5BDB8C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A682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3D24" w14:paraId="1EA8A1C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ED20639" w14:textId="6EE5A2E8" w:rsidR="00EC379B" w:rsidRDefault="00632D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E6B7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A45B11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52BC3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36E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CC02" w14:textId="77777777" w:rsidR="00000000" w:rsidRDefault="00632D7E">
      <w:r>
        <w:separator/>
      </w:r>
    </w:p>
  </w:footnote>
  <w:footnote w:type="continuationSeparator" w:id="0">
    <w:p w14:paraId="6D706492" w14:textId="77777777" w:rsidR="00000000" w:rsidRDefault="0063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C37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52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858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FE9"/>
    <w:multiLevelType w:val="hybridMultilevel"/>
    <w:tmpl w:val="DBCCE002"/>
    <w:lvl w:ilvl="0" w:tplc="E41474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12488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21247A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C2F9B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49EB20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3ECDF0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62C8A3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3DE419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F82BCA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8B2CC6"/>
    <w:multiLevelType w:val="hybridMultilevel"/>
    <w:tmpl w:val="D28AA8D2"/>
    <w:lvl w:ilvl="0" w:tplc="15B07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654EE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6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4F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0E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00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D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84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A1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DA4"/>
    <w:multiLevelType w:val="hybridMultilevel"/>
    <w:tmpl w:val="8D6E5AEA"/>
    <w:lvl w:ilvl="0" w:tplc="55400B82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E7FE8EC4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A1DA9998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762AE12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7848D3F2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7D10301A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C25A9C40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B2C4AA7A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95C08588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7DD64471"/>
    <w:multiLevelType w:val="hybridMultilevel"/>
    <w:tmpl w:val="E278B35A"/>
    <w:lvl w:ilvl="0" w:tplc="CA3CD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A6D81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63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EE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A9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4D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D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029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572"/>
    <w:rsid w:val="000532BD"/>
    <w:rsid w:val="00055C12"/>
    <w:rsid w:val="000608B0"/>
    <w:rsid w:val="0006104C"/>
    <w:rsid w:val="0006368E"/>
    <w:rsid w:val="00064BF2"/>
    <w:rsid w:val="000667BA"/>
    <w:rsid w:val="000676A7"/>
    <w:rsid w:val="00067EA4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CD0"/>
    <w:rsid w:val="000D2EBA"/>
    <w:rsid w:val="000D32A1"/>
    <w:rsid w:val="000D3725"/>
    <w:rsid w:val="000D46E5"/>
    <w:rsid w:val="000D769C"/>
    <w:rsid w:val="000E1976"/>
    <w:rsid w:val="000E20F1"/>
    <w:rsid w:val="000E2AD6"/>
    <w:rsid w:val="000E3E00"/>
    <w:rsid w:val="000E5B20"/>
    <w:rsid w:val="000E6B77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D54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44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E35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392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823"/>
    <w:rsid w:val="00280123"/>
    <w:rsid w:val="00281343"/>
    <w:rsid w:val="00281883"/>
    <w:rsid w:val="002874E3"/>
    <w:rsid w:val="00287656"/>
    <w:rsid w:val="00291518"/>
    <w:rsid w:val="00295DC8"/>
    <w:rsid w:val="00296FF0"/>
    <w:rsid w:val="002A17C0"/>
    <w:rsid w:val="002A48DF"/>
    <w:rsid w:val="002A5A84"/>
    <w:rsid w:val="002A6E6F"/>
    <w:rsid w:val="002A73C8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41C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47E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6F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28A3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E5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1B8"/>
    <w:rsid w:val="00492211"/>
    <w:rsid w:val="00492325"/>
    <w:rsid w:val="00492A6D"/>
    <w:rsid w:val="00494303"/>
    <w:rsid w:val="0049682B"/>
    <w:rsid w:val="004A03F7"/>
    <w:rsid w:val="004A081C"/>
    <w:rsid w:val="004A0AD5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092"/>
    <w:rsid w:val="00562C87"/>
    <w:rsid w:val="005636BD"/>
    <w:rsid w:val="005666D5"/>
    <w:rsid w:val="005669A7"/>
    <w:rsid w:val="00570288"/>
    <w:rsid w:val="00573401"/>
    <w:rsid w:val="00574CA1"/>
    <w:rsid w:val="00576714"/>
    <w:rsid w:val="0057685A"/>
    <w:rsid w:val="005847EF"/>
    <w:rsid w:val="005851E6"/>
    <w:rsid w:val="005878B7"/>
    <w:rsid w:val="00592C9A"/>
    <w:rsid w:val="00593DF8"/>
    <w:rsid w:val="00595745"/>
    <w:rsid w:val="005A0B27"/>
    <w:rsid w:val="005A0E18"/>
    <w:rsid w:val="005A12A5"/>
    <w:rsid w:val="005A352B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3ED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2D7E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3FF8"/>
    <w:rsid w:val="00705276"/>
    <w:rsid w:val="007066A0"/>
    <w:rsid w:val="007075FB"/>
    <w:rsid w:val="0070787B"/>
    <w:rsid w:val="0071131D"/>
    <w:rsid w:val="00711E3D"/>
    <w:rsid w:val="00711E85"/>
    <w:rsid w:val="00712DDA"/>
    <w:rsid w:val="0071477D"/>
    <w:rsid w:val="0071592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2B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F57"/>
    <w:rsid w:val="007D2892"/>
    <w:rsid w:val="007D2DCC"/>
    <w:rsid w:val="007D3C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790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45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D6A2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D2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70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AC5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1A1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E90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25C"/>
    <w:rsid w:val="00A932BB"/>
    <w:rsid w:val="00A93579"/>
    <w:rsid w:val="00A93934"/>
    <w:rsid w:val="00A95AC0"/>
    <w:rsid w:val="00A95D51"/>
    <w:rsid w:val="00AA0E7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9B5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175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9A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636B"/>
    <w:rsid w:val="00C2766F"/>
    <w:rsid w:val="00C3223B"/>
    <w:rsid w:val="00C333C6"/>
    <w:rsid w:val="00C35CC5"/>
    <w:rsid w:val="00C361C5"/>
    <w:rsid w:val="00C377D1"/>
    <w:rsid w:val="00C37BDA"/>
    <w:rsid w:val="00C37C84"/>
    <w:rsid w:val="00C4038A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ABB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825"/>
    <w:rsid w:val="00CF02F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096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3E08"/>
    <w:rsid w:val="00D53FDA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64C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3C9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916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8E9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2BC3"/>
    <w:rsid w:val="00F44349"/>
    <w:rsid w:val="00F4569E"/>
    <w:rsid w:val="00F45AFC"/>
    <w:rsid w:val="00F462F4"/>
    <w:rsid w:val="00F50130"/>
    <w:rsid w:val="00F52402"/>
    <w:rsid w:val="00F5409A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802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3A63A5-620A-411E-B316-63550B8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51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1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175"/>
    <w:rPr>
      <w:b/>
      <w:bCs/>
    </w:rPr>
  </w:style>
  <w:style w:type="paragraph" w:styleId="ListParagraph">
    <w:name w:val="List Paragraph"/>
    <w:basedOn w:val="Normal"/>
    <w:uiPriority w:val="34"/>
    <w:qFormat/>
    <w:rsid w:val="007D3CCC"/>
    <w:pPr>
      <w:ind w:left="720"/>
      <w:contextualSpacing/>
    </w:pPr>
  </w:style>
  <w:style w:type="paragraph" w:styleId="Revision">
    <w:name w:val="Revision"/>
    <w:hidden/>
    <w:uiPriority w:val="99"/>
    <w:semiHidden/>
    <w:rsid w:val="00FE5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4121</Characters>
  <Application>Microsoft Office Word</Application>
  <DocSecurity>4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HB04078 (Committee Report (Substituted))</vt:lpstr>
    </vt:vector>
  </TitlesOfParts>
  <Company>State of Texas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25415</dc:subject>
  <dc:creator>State of Texas</dc:creator>
  <dc:description>HB 4078 by Bonnen-(H)Pensions, Investments &amp; Financial Services (Substitute Document Number: 87R 21081)</dc:description>
  <cp:lastModifiedBy>Lauren Bustamante</cp:lastModifiedBy>
  <cp:revision>2</cp:revision>
  <cp:lastPrinted>2003-11-26T17:21:00Z</cp:lastPrinted>
  <dcterms:created xsi:type="dcterms:W3CDTF">2021-05-11T00:31:00Z</dcterms:created>
  <dcterms:modified xsi:type="dcterms:W3CDTF">2021-05-11T00:31:00Z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21.126.2617</vt:lpwstr>
  </property>
</Properties>
</file>