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5E126D" w14:paraId="38A3F045" w14:textId="77777777" w:rsidTr="00345119">
        <w:tc>
          <w:tcPr>
            <w:tcW w:w="9576" w:type="dxa"/>
            <w:noWrap/>
          </w:tcPr>
          <w:p w14:paraId="55F87B6D" w14:textId="77777777" w:rsidR="008423E4" w:rsidRPr="0022177D" w:rsidRDefault="00FF411D" w:rsidP="00195D22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14:paraId="04456195" w14:textId="77777777" w:rsidR="008423E4" w:rsidRPr="0022177D" w:rsidRDefault="008423E4" w:rsidP="00195D22">
      <w:pPr>
        <w:jc w:val="center"/>
      </w:pPr>
    </w:p>
    <w:p w14:paraId="74BD54C9" w14:textId="77777777" w:rsidR="008423E4" w:rsidRPr="00B31F0E" w:rsidRDefault="008423E4" w:rsidP="00195D22"/>
    <w:p w14:paraId="1E6AA40C" w14:textId="77777777" w:rsidR="008423E4" w:rsidRPr="00742794" w:rsidRDefault="008423E4" w:rsidP="00195D22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5E126D" w14:paraId="13A3162B" w14:textId="77777777" w:rsidTr="00345119">
        <w:tc>
          <w:tcPr>
            <w:tcW w:w="9576" w:type="dxa"/>
          </w:tcPr>
          <w:p w14:paraId="7C24321A" w14:textId="77777777" w:rsidR="008423E4" w:rsidRPr="00861995" w:rsidRDefault="00FF411D" w:rsidP="00195D22">
            <w:pPr>
              <w:jc w:val="right"/>
            </w:pPr>
            <w:r>
              <w:t>C.S.H.B. 4108</w:t>
            </w:r>
          </w:p>
        </w:tc>
      </w:tr>
      <w:tr w:rsidR="005E126D" w14:paraId="08372071" w14:textId="77777777" w:rsidTr="00345119">
        <w:tc>
          <w:tcPr>
            <w:tcW w:w="9576" w:type="dxa"/>
          </w:tcPr>
          <w:p w14:paraId="729639DF" w14:textId="77777777" w:rsidR="008423E4" w:rsidRPr="00861995" w:rsidRDefault="00FF411D" w:rsidP="00195D22">
            <w:pPr>
              <w:jc w:val="right"/>
            </w:pPr>
            <w:r>
              <w:t xml:space="preserve">By: </w:t>
            </w:r>
            <w:r w:rsidR="005B7116">
              <w:t>Guerra</w:t>
            </w:r>
          </w:p>
        </w:tc>
      </w:tr>
      <w:tr w:rsidR="005E126D" w14:paraId="62C77078" w14:textId="77777777" w:rsidTr="00345119">
        <w:tc>
          <w:tcPr>
            <w:tcW w:w="9576" w:type="dxa"/>
          </w:tcPr>
          <w:p w14:paraId="45E44F6A" w14:textId="77777777" w:rsidR="008423E4" w:rsidRPr="00861995" w:rsidRDefault="00FF411D" w:rsidP="00195D22">
            <w:pPr>
              <w:jc w:val="right"/>
            </w:pPr>
            <w:r>
              <w:t>Pensions, Investments &amp; Financial Services</w:t>
            </w:r>
          </w:p>
        </w:tc>
      </w:tr>
      <w:tr w:rsidR="005E126D" w14:paraId="6826E31C" w14:textId="77777777" w:rsidTr="00345119">
        <w:tc>
          <w:tcPr>
            <w:tcW w:w="9576" w:type="dxa"/>
          </w:tcPr>
          <w:p w14:paraId="18329911" w14:textId="77777777" w:rsidR="008423E4" w:rsidRDefault="00FF411D" w:rsidP="00195D22">
            <w:pPr>
              <w:jc w:val="right"/>
            </w:pPr>
            <w:r>
              <w:t>Committee Report (Substituted)</w:t>
            </w:r>
          </w:p>
        </w:tc>
      </w:tr>
    </w:tbl>
    <w:p w14:paraId="36E3A361" w14:textId="77777777" w:rsidR="008423E4" w:rsidRDefault="008423E4" w:rsidP="00195D22">
      <w:pPr>
        <w:tabs>
          <w:tab w:val="right" w:pos="9360"/>
        </w:tabs>
      </w:pPr>
    </w:p>
    <w:p w14:paraId="55FFA3E4" w14:textId="77777777" w:rsidR="008423E4" w:rsidRDefault="008423E4" w:rsidP="00195D22"/>
    <w:p w14:paraId="4B3F51FF" w14:textId="77777777" w:rsidR="008423E4" w:rsidRDefault="008423E4" w:rsidP="00195D22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5E126D" w14:paraId="36FBA86F" w14:textId="77777777" w:rsidTr="00195D22">
        <w:tc>
          <w:tcPr>
            <w:tcW w:w="9360" w:type="dxa"/>
          </w:tcPr>
          <w:p w14:paraId="57397A41" w14:textId="77777777" w:rsidR="008423E4" w:rsidRPr="00A8133F" w:rsidRDefault="00FF411D" w:rsidP="00195D22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5313E88D" w14:textId="77777777" w:rsidR="008423E4" w:rsidRDefault="008423E4" w:rsidP="00195D22"/>
          <w:p w14:paraId="3DCD5A5D" w14:textId="2A82FC63" w:rsidR="008423E4" w:rsidRDefault="00FF411D" w:rsidP="00195D2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There is a trend in the c</w:t>
            </w:r>
            <w:r w:rsidR="005B7116" w:rsidRPr="005B7116">
              <w:t>emeter</w:t>
            </w:r>
            <w:r>
              <w:t>y industry whereby</w:t>
            </w:r>
            <w:r w:rsidR="005B7116" w:rsidRPr="005B7116">
              <w:t xml:space="preserve"> </w:t>
            </w:r>
            <w:r>
              <w:t xml:space="preserve">corporations are obtaining the ownership rights of cemeteries that were previously family run. </w:t>
            </w:r>
            <w:r w:rsidR="005B7116" w:rsidRPr="005B7116">
              <w:t xml:space="preserve">When that ownership transfers to </w:t>
            </w:r>
            <w:r>
              <w:t xml:space="preserve">these </w:t>
            </w:r>
            <w:r w:rsidR="005B7116" w:rsidRPr="005B7116">
              <w:t>corporat</w:t>
            </w:r>
            <w:r>
              <w:t>ions</w:t>
            </w:r>
            <w:r w:rsidR="005B7116" w:rsidRPr="005B7116">
              <w:t>, ma</w:t>
            </w:r>
            <w:r w:rsidR="005B7116">
              <w:t>intenance and upkeep fees often</w:t>
            </w:r>
            <w:r w:rsidR="005B7116" w:rsidRPr="005B7116">
              <w:t xml:space="preserve"> increase without warning for f</w:t>
            </w:r>
            <w:r w:rsidR="005B7116">
              <w:t>amily members.</w:t>
            </w:r>
            <w:r w:rsidR="005B7116" w:rsidRPr="005B7116">
              <w:t xml:space="preserve"> </w:t>
            </w:r>
            <w:r>
              <w:t>C.S.H.B. 4108 seeks to addres</w:t>
            </w:r>
            <w:r>
              <w:t>s</w:t>
            </w:r>
            <w:r w:rsidR="005B7116" w:rsidRPr="005B7116">
              <w:t xml:space="preserve"> this issue </w:t>
            </w:r>
            <w:r>
              <w:t>and</w:t>
            </w:r>
            <w:r w:rsidRPr="005B7116">
              <w:t xml:space="preserve"> </w:t>
            </w:r>
            <w:r>
              <w:t>provide certain consumer</w:t>
            </w:r>
            <w:r w:rsidR="005B7116" w:rsidRPr="005B7116">
              <w:t xml:space="preserve"> protections for families when </w:t>
            </w:r>
            <w:r>
              <w:t>following a change in</w:t>
            </w:r>
            <w:r w:rsidRPr="005B7116">
              <w:t xml:space="preserve"> </w:t>
            </w:r>
            <w:r w:rsidR="005B7116" w:rsidRPr="005B7116">
              <w:t xml:space="preserve">ownership </w:t>
            </w:r>
            <w:r>
              <w:t>of a perpetual care cemetery</w:t>
            </w:r>
            <w:r w:rsidR="005B7116" w:rsidRPr="005B7116">
              <w:t>.</w:t>
            </w:r>
          </w:p>
          <w:p w14:paraId="0A108645" w14:textId="77777777" w:rsidR="008423E4" w:rsidRPr="00E26B13" w:rsidRDefault="008423E4" w:rsidP="00195D22">
            <w:pPr>
              <w:rPr>
                <w:b/>
              </w:rPr>
            </w:pPr>
          </w:p>
        </w:tc>
      </w:tr>
      <w:tr w:rsidR="005E126D" w14:paraId="68108495" w14:textId="77777777" w:rsidTr="00195D22">
        <w:tc>
          <w:tcPr>
            <w:tcW w:w="9360" w:type="dxa"/>
          </w:tcPr>
          <w:p w14:paraId="6F7979F8" w14:textId="77777777" w:rsidR="0017725B" w:rsidRDefault="00FF411D" w:rsidP="00195D2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22492285" w14:textId="77777777" w:rsidR="0017725B" w:rsidRDefault="0017725B" w:rsidP="00195D22">
            <w:pPr>
              <w:rPr>
                <w:b/>
                <w:u w:val="single"/>
              </w:rPr>
            </w:pPr>
          </w:p>
          <w:p w14:paraId="6ABE12DE" w14:textId="77777777" w:rsidR="00E744C6" w:rsidRPr="00E744C6" w:rsidRDefault="00FF411D" w:rsidP="00195D22">
            <w:pPr>
              <w:jc w:val="both"/>
            </w:pPr>
            <w:r>
              <w:t>It is the committee's opinion that this bill does not expressly create a criminal offense, incr</w:t>
            </w:r>
            <w:r>
              <w:t>ease the punishment for an existing criminal offense or category of offenses, or change the eligibility of a person for community supervision, parole, or mandatory supervision.</w:t>
            </w:r>
          </w:p>
          <w:p w14:paraId="18E6C497" w14:textId="77777777" w:rsidR="0017725B" w:rsidRPr="0017725B" w:rsidRDefault="0017725B" w:rsidP="00195D22">
            <w:pPr>
              <w:rPr>
                <w:b/>
                <w:u w:val="single"/>
              </w:rPr>
            </w:pPr>
          </w:p>
        </w:tc>
      </w:tr>
      <w:tr w:rsidR="005E126D" w14:paraId="73958672" w14:textId="77777777" w:rsidTr="00195D22">
        <w:tc>
          <w:tcPr>
            <w:tcW w:w="9360" w:type="dxa"/>
          </w:tcPr>
          <w:p w14:paraId="5CBB3D04" w14:textId="77777777" w:rsidR="008423E4" w:rsidRPr="00A8133F" w:rsidRDefault="00FF411D" w:rsidP="00195D22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1620AA15" w14:textId="77777777" w:rsidR="008423E4" w:rsidRDefault="008423E4" w:rsidP="00195D22"/>
          <w:p w14:paraId="7E29A31E" w14:textId="77777777" w:rsidR="00E744C6" w:rsidRDefault="00FF411D" w:rsidP="00195D2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this bill does not </w:t>
            </w:r>
            <w:r>
              <w:t>expressly grant any additional rulemaking authority to a state officer, department, agency, or institution.</w:t>
            </w:r>
          </w:p>
          <w:p w14:paraId="1E63BEA5" w14:textId="77777777" w:rsidR="008423E4" w:rsidRPr="00E21FDC" w:rsidRDefault="008423E4" w:rsidP="00195D22">
            <w:pPr>
              <w:rPr>
                <w:b/>
              </w:rPr>
            </w:pPr>
          </w:p>
        </w:tc>
      </w:tr>
      <w:tr w:rsidR="005E126D" w14:paraId="7AAAF166" w14:textId="77777777" w:rsidTr="00195D22">
        <w:tc>
          <w:tcPr>
            <w:tcW w:w="9360" w:type="dxa"/>
          </w:tcPr>
          <w:p w14:paraId="4A53C0B2" w14:textId="77777777" w:rsidR="008423E4" w:rsidRPr="00A8133F" w:rsidRDefault="00FF411D" w:rsidP="00195D22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0A143B1E" w14:textId="77777777" w:rsidR="008423E4" w:rsidRDefault="008423E4" w:rsidP="00195D22"/>
          <w:p w14:paraId="452CA831" w14:textId="011CA8C4" w:rsidR="009C36CD" w:rsidRDefault="00FF411D" w:rsidP="00195D2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C.S.H.B. 4108 </w:t>
            </w:r>
            <w:r w:rsidR="002F6616">
              <w:t>amends the Health and Safety Code to prohibit</w:t>
            </w:r>
            <w:r w:rsidR="00B61729">
              <w:t xml:space="preserve"> </w:t>
            </w:r>
            <w:r w:rsidR="003606AE">
              <w:t>the new certificate holder, on the transfer of</w:t>
            </w:r>
            <w:r w:rsidR="002F6616">
              <w:t xml:space="preserve"> the business ownership of a perpetual care cemetery</w:t>
            </w:r>
            <w:r w:rsidR="003606AE">
              <w:t>,</w:t>
            </w:r>
            <w:r w:rsidR="00B61729">
              <w:t xml:space="preserve"> </w:t>
            </w:r>
            <w:r w:rsidR="002F6616">
              <w:t>from modifying the terms, including the amount of any fees for</w:t>
            </w:r>
            <w:r w:rsidR="009223A6">
              <w:t xml:space="preserve"> the cemetery's</w:t>
            </w:r>
            <w:r w:rsidR="002F6616">
              <w:t xml:space="preserve"> maintenance or upkeep, of a prepaid funeral contract entered into by the plot owner and the transferor without the plot owner's agreement.</w:t>
            </w:r>
            <w:r w:rsidR="00FE6299">
              <w:t xml:space="preserve"> </w:t>
            </w:r>
            <w:r w:rsidR="009223A6">
              <w:t>The bill requires the new certificate holder t</w:t>
            </w:r>
            <w:r w:rsidR="003606AE">
              <w:t>o do the following n</w:t>
            </w:r>
            <w:r w:rsidR="00B61729">
              <w:t>ot</w:t>
            </w:r>
            <w:r w:rsidR="00FE6299">
              <w:t xml:space="preserve"> later than 60 days after the date </w:t>
            </w:r>
            <w:r w:rsidR="00B61729">
              <w:t>the</w:t>
            </w:r>
            <w:r w:rsidR="00FE6299">
              <w:t xml:space="preserve"> transfer is executed:</w:t>
            </w:r>
          </w:p>
          <w:p w14:paraId="3C5FE4ED" w14:textId="7F4C9FED" w:rsidR="007931E4" w:rsidRDefault="00FF411D" w:rsidP="00195D22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>notify each plot owner</w:t>
            </w:r>
            <w:r w:rsidR="003606AE">
              <w:t xml:space="preserve"> </w:t>
            </w:r>
            <w:r w:rsidR="00142A66">
              <w:t>of the transfer and the identity of the new certificate holder</w:t>
            </w:r>
            <w:r w:rsidR="00B61729">
              <w:t xml:space="preserve"> and</w:t>
            </w:r>
            <w:r w:rsidR="001E3385">
              <w:t xml:space="preserve"> </w:t>
            </w:r>
            <w:r>
              <w:t>that the new certifica</w:t>
            </w:r>
            <w:r>
              <w:t xml:space="preserve">te holder may not modify the terms of a prepaid funeral contract entered into by the plot owner </w:t>
            </w:r>
            <w:r w:rsidR="001E3385">
              <w:t>and</w:t>
            </w:r>
            <w:r>
              <w:t xml:space="preserve"> the transferor; and</w:t>
            </w:r>
          </w:p>
          <w:p w14:paraId="45DE3CA7" w14:textId="6C02D889" w:rsidR="007931E4" w:rsidRDefault="00FF411D" w:rsidP="00195D22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>provide to each plot owner the costs outlined in the</w:t>
            </w:r>
            <w:r w:rsidR="00142A66">
              <w:t xml:space="preserve"> </w:t>
            </w:r>
            <w:r>
              <w:t>prepaid funeral contract</w:t>
            </w:r>
            <w:r w:rsidR="001E3385">
              <w:t xml:space="preserve"> entered into by the plot owner and the transferor</w:t>
            </w:r>
            <w:r>
              <w:t>.</w:t>
            </w:r>
          </w:p>
          <w:p w14:paraId="3051AAE1" w14:textId="5DC6805F" w:rsidR="00142A66" w:rsidRDefault="00FF411D" w:rsidP="00195D2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The bil</w:t>
            </w:r>
            <w:r>
              <w:t>l</w:t>
            </w:r>
            <w:r w:rsidR="007931E4">
              <w:t xml:space="preserve"> </w:t>
            </w:r>
            <w:r>
              <w:t xml:space="preserve">gives </w:t>
            </w:r>
            <w:r w:rsidR="007931E4">
              <w:t>the new certificate holder</w:t>
            </w:r>
            <w:r>
              <w:t xml:space="preserve"> the option</w:t>
            </w:r>
            <w:r w:rsidR="007931E4">
              <w:t xml:space="preserve"> to provide the notice and costs by mail, email, telephone, or in any other manner that ensures the owner will receive the notice and costs. </w:t>
            </w:r>
          </w:p>
          <w:p w14:paraId="1D800E11" w14:textId="77777777" w:rsidR="00142A66" w:rsidRDefault="00142A66" w:rsidP="00195D2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478D18AD" w14:textId="5FB9E3EB" w:rsidR="007931E4" w:rsidRPr="009C36CD" w:rsidRDefault="00FF411D" w:rsidP="00195D2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C.S.H.B. 4108 requires a </w:t>
            </w:r>
            <w:r w:rsidR="006A29FE">
              <w:t xml:space="preserve">perpetual care cemetery </w:t>
            </w:r>
            <w:r>
              <w:t xml:space="preserve">to </w:t>
            </w:r>
            <w:r w:rsidR="006A29FE">
              <w:t xml:space="preserve">have a representative available </w:t>
            </w:r>
            <w:r>
              <w:t xml:space="preserve">during a transfer of ownership and for at least 120 days following the transfer in order </w:t>
            </w:r>
            <w:r w:rsidR="006A29FE">
              <w:t xml:space="preserve">to provide assistance to a plot owner or </w:t>
            </w:r>
            <w:r>
              <w:t xml:space="preserve">the </w:t>
            </w:r>
            <w:r w:rsidR="006A29FE">
              <w:t xml:space="preserve">owner's immediate family members or authorized representative. The assistance must be provided in English or Spanish or, if applicable, English and any other language spoken by a substantial portion of the individuals residing in the area in which the cemetery is located. </w:t>
            </w:r>
          </w:p>
          <w:p w14:paraId="0AF88249" w14:textId="77777777" w:rsidR="008423E4" w:rsidRPr="00835628" w:rsidRDefault="008423E4" w:rsidP="00195D22">
            <w:pPr>
              <w:rPr>
                <w:b/>
              </w:rPr>
            </w:pPr>
          </w:p>
        </w:tc>
      </w:tr>
      <w:tr w:rsidR="005E126D" w14:paraId="4DA6BF20" w14:textId="77777777" w:rsidTr="00195D22">
        <w:tc>
          <w:tcPr>
            <w:tcW w:w="9360" w:type="dxa"/>
          </w:tcPr>
          <w:p w14:paraId="0AFBCFD1" w14:textId="77777777" w:rsidR="008423E4" w:rsidRPr="00A8133F" w:rsidRDefault="00FF411D" w:rsidP="00195D22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79603ED8" w14:textId="77777777" w:rsidR="008423E4" w:rsidRDefault="008423E4" w:rsidP="00195D22"/>
          <w:p w14:paraId="7C57CDF7" w14:textId="77777777" w:rsidR="008423E4" w:rsidRPr="003624F2" w:rsidRDefault="00FF411D" w:rsidP="00195D2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2021.</w:t>
            </w:r>
          </w:p>
          <w:p w14:paraId="4F857357" w14:textId="77777777" w:rsidR="008423E4" w:rsidRPr="00233FDB" w:rsidRDefault="008423E4" w:rsidP="00195D22">
            <w:pPr>
              <w:rPr>
                <w:b/>
              </w:rPr>
            </w:pPr>
          </w:p>
        </w:tc>
      </w:tr>
      <w:tr w:rsidR="005E126D" w14:paraId="3945432B" w14:textId="77777777" w:rsidTr="00195D22">
        <w:tc>
          <w:tcPr>
            <w:tcW w:w="9360" w:type="dxa"/>
          </w:tcPr>
          <w:p w14:paraId="10FF0565" w14:textId="77777777" w:rsidR="005B7116" w:rsidRDefault="00FF411D" w:rsidP="00195D22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ORIGINAL AND SUBSTITUTE</w:t>
            </w:r>
          </w:p>
          <w:p w14:paraId="227EB435" w14:textId="77777777" w:rsidR="004079F8" w:rsidRDefault="004079F8" w:rsidP="00195D22">
            <w:pPr>
              <w:jc w:val="both"/>
            </w:pPr>
          </w:p>
          <w:p w14:paraId="71D417CA" w14:textId="77777777" w:rsidR="004079F8" w:rsidRDefault="00FF411D" w:rsidP="00195D22">
            <w:pPr>
              <w:jc w:val="both"/>
            </w:pPr>
            <w:r>
              <w:t xml:space="preserve">While </w:t>
            </w:r>
            <w:r>
              <w:t>C.S.H.B. 4108 may differ from the original in minor or nonsubstantive ways, the following summarizes the substantial differences between the introduced and committee substitute versions of the bill.</w:t>
            </w:r>
          </w:p>
          <w:p w14:paraId="70A1859C" w14:textId="77777777" w:rsidR="004079F8" w:rsidRDefault="004079F8" w:rsidP="00195D22">
            <w:pPr>
              <w:jc w:val="both"/>
            </w:pPr>
          </w:p>
          <w:p w14:paraId="7D650F5E" w14:textId="6D49EB55" w:rsidR="00E1565D" w:rsidRDefault="00FF411D" w:rsidP="00195D22">
            <w:pPr>
              <w:jc w:val="both"/>
            </w:pPr>
            <w:r>
              <w:t xml:space="preserve">The substitute includes a provision that did not appear in the original </w:t>
            </w:r>
            <w:r w:rsidR="00DA2EB0">
              <w:t>prescribing</w:t>
            </w:r>
            <w:r>
              <w:t xml:space="preserve"> the manner by which the new certificate holder may provide </w:t>
            </w:r>
            <w:r w:rsidR="00D20466">
              <w:t xml:space="preserve">to the plot owner </w:t>
            </w:r>
            <w:r>
              <w:t>the</w:t>
            </w:r>
            <w:r w:rsidR="00DA2EB0">
              <w:t xml:space="preserve"> </w:t>
            </w:r>
            <w:r w:rsidR="00D20466">
              <w:t xml:space="preserve">required </w:t>
            </w:r>
            <w:r w:rsidR="00DA2EB0">
              <w:t>notification regarding the transfer of ownership</w:t>
            </w:r>
            <w:r>
              <w:t xml:space="preserve"> </w:t>
            </w:r>
            <w:r w:rsidR="00DA2EB0">
              <w:t xml:space="preserve">of the cemetery and </w:t>
            </w:r>
            <w:r w:rsidR="00D20466">
              <w:t xml:space="preserve">the </w:t>
            </w:r>
            <w:r>
              <w:t xml:space="preserve">costs </w:t>
            </w:r>
            <w:r w:rsidR="00DA2EB0">
              <w:t>outlined in the owner's existing prepaid funeral contract</w:t>
            </w:r>
            <w:r>
              <w:t>.</w:t>
            </w:r>
          </w:p>
          <w:p w14:paraId="290B8049" w14:textId="77777777" w:rsidR="004079F8" w:rsidRPr="004079F8" w:rsidRDefault="004079F8" w:rsidP="00195D22">
            <w:pPr>
              <w:jc w:val="both"/>
            </w:pPr>
          </w:p>
        </w:tc>
      </w:tr>
    </w:tbl>
    <w:p w14:paraId="5A08DC45" w14:textId="77777777" w:rsidR="004108C3" w:rsidRPr="008423E4" w:rsidRDefault="004108C3" w:rsidP="00195D22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15E48" w14:textId="77777777" w:rsidR="00000000" w:rsidRDefault="00FF411D">
      <w:r>
        <w:separator/>
      </w:r>
    </w:p>
  </w:endnote>
  <w:endnote w:type="continuationSeparator" w:id="0">
    <w:p w14:paraId="6F6CDD06" w14:textId="77777777" w:rsidR="00000000" w:rsidRDefault="00FF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0A97B" w14:textId="77777777" w:rsidR="00EC379B" w:rsidRDefault="00EC37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5E126D" w14:paraId="143A6107" w14:textId="77777777" w:rsidTr="009C1E9A">
      <w:trPr>
        <w:cantSplit/>
      </w:trPr>
      <w:tc>
        <w:tcPr>
          <w:tcW w:w="0" w:type="pct"/>
        </w:tcPr>
        <w:p w14:paraId="79C0B428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70CC5552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69F20F1E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063AD422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19E8D4DA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5E126D" w14:paraId="5B5F8F00" w14:textId="77777777" w:rsidTr="009C1E9A">
      <w:trPr>
        <w:cantSplit/>
      </w:trPr>
      <w:tc>
        <w:tcPr>
          <w:tcW w:w="0" w:type="pct"/>
        </w:tcPr>
        <w:p w14:paraId="1EA8F501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52CBE853" w14:textId="77777777" w:rsidR="00EC379B" w:rsidRPr="009C1E9A" w:rsidRDefault="00FF411D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87R 21438</w:t>
          </w:r>
        </w:p>
      </w:tc>
      <w:tc>
        <w:tcPr>
          <w:tcW w:w="2453" w:type="pct"/>
        </w:tcPr>
        <w:p w14:paraId="739CA47F" w14:textId="0DD9CBF0" w:rsidR="00EC379B" w:rsidRDefault="00FF411D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7360FF">
            <w:t>21.112.1987</w:t>
          </w:r>
          <w:r>
            <w:fldChar w:fldCharType="end"/>
          </w:r>
        </w:p>
      </w:tc>
    </w:tr>
    <w:tr w:rsidR="005E126D" w14:paraId="3557E792" w14:textId="77777777" w:rsidTr="009C1E9A">
      <w:trPr>
        <w:cantSplit/>
      </w:trPr>
      <w:tc>
        <w:tcPr>
          <w:tcW w:w="0" w:type="pct"/>
        </w:tcPr>
        <w:p w14:paraId="7BFDDE5E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5548C784" w14:textId="77777777" w:rsidR="00EC379B" w:rsidRPr="009C1E9A" w:rsidRDefault="00FF411D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87R 20130</w:t>
          </w:r>
        </w:p>
      </w:tc>
      <w:tc>
        <w:tcPr>
          <w:tcW w:w="2453" w:type="pct"/>
        </w:tcPr>
        <w:p w14:paraId="641AE719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7720833E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5E126D" w14:paraId="3D12CDF1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085BA43C" w14:textId="5A5A26C1" w:rsidR="00EC379B" w:rsidRDefault="00FF411D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7360FF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  <w:p w14:paraId="3EB83D41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15735C89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C5B8E" w14:textId="77777777" w:rsidR="00EC379B" w:rsidRDefault="00EC3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7F155" w14:textId="77777777" w:rsidR="00000000" w:rsidRDefault="00FF411D">
      <w:r>
        <w:separator/>
      </w:r>
    </w:p>
  </w:footnote>
  <w:footnote w:type="continuationSeparator" w:id="0">
    <w:p w14:paraId="0A2D9CD6" w14:textId="77777777" w:rsidR="00000000" w:rsidRDefault="00FF4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32069" w14:textId="77777777" w:rsidR="00EC379B" w:rsidRDefault="00EC37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0AAA8" w14:textId="77777777" w:rsidR="00EC379B" w:rsidRDefault="00EC37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A025E" w14:textId="77777777" w:rsidR="00EC379B" w:rsidRDefault="00EC37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C5362"/>
    <w:multiLevelType w:val="hybridMultilevel"/>
    <w:tmpl w:val="5BD8E140"/>
    <w:lvl w:ilvl="0" w:tplc="1CE24C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86CCAAC" w:tentative="1">
      <w:start w:val="1"/>
      <w:numFmt w:val="lowerLetter"/>
      <w:lvlText w:val="%2."/>
      <w:lvlJc w:val="left"/>
      <w:pPr>
        <w:ind w:left="1440" w:hanging="360"/>
      </w:pPr>
    </w:lvl>
    <w:lvl w:ilvl="2" w:tplc="A98E4FF4" w:tentative="1">
      <w:start w:val="1"/>
      <w:numFmt w:val="lowerRoman"/>
      <w:lvlText w:val="%3."/>
      <w:lvlJc w:val="right"/>
      <w:pPr>
        <w:ind w:left="2160" w:hanging="180"/>
      </w:pPr>
    </w:lvl>
    <w:lvl w:ilvl="3" w:tplc="A062804C" w:tentative="1">
      <w:start w:val="1"/>
      <w:numFmt w:val="decimal"/>
      <w:lvlText w:val="%4."/>
      <w:lvlJc w:val="left"/>
      <w:pPr>
        <w:ind w:left="2880" w:hanging="360"/>
      </w:pPr>
    </w:lvl>
    <w:lvl w:ilvl="4" w:tplc="598CE490" w:tentative="1">
      <w:start w:val="1"/>
      <w:numFmt w:val="lowerLetter"/>
      <w:lvlText w:val="%5."/>
      <w:lvlJc w:val="left"/>
      <w:pPr>
        <w:ind w:left="3600" w:hanging="360"/>
      </w:pPr>
    </w:lvl>
    <w:lvl w:ilvl="5" w:tplc="2E68A234" w:tentative="1">
      <w:start w:val="1"/>
      <w:numFmt w:val="lowerRoman"/>
      <w:lvlText w:val="%6."/>
      <w:lvlJc w:val="right"/>
      <w:pPr>
        <w:ind w:left="4320" w:hanging="180"/>
      </w:pPr>
    </w:lvl>
    <w:lvl w:ilvl="6" w:tplc="3FFAC1AA" w:tentative="1">
      <w:start w:val="1"/>
      <w:numFmt w:val="decimal"/>
      <w:lvlText w:val="%7."/>
      <w:lvlJc w:val="left"/>
      <w:pPr>
        <w:ind w:left="5040" w:hanging="360"/>
      </w:pPr>
    </w:lvl>
    <w:lvl w:ilvl="7" w:tplc="4BB262C6" w:tentative="1">
      <w:start w:val="1"/>
      <w:numFmt w:val="lowerLetter"/>
      <w:lvlText w:val="%8."/>
      <w:lvlJc w:val="left"/>
      <w:pPr>
        <w:ind w:left="5760" w:hanging="360"/>
      </w:pPr>
    </w:lvl>
    <w:lvl w:ilvl="8" w:tplc="B4E8D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D3C1A"/>
    <w:multiLevelType w:val="hybridMultilevel"/>
    <w:tmpl w:val="F45AB3D0"/>
    <w:lvl w:ilvl="0" w:tplc="60D41D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18DF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425B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0A5A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4A53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A0C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281F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008A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226E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16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371B"/>
    <w:rsid w:val="001245C8"/>
    <w:rsid w:val="00124653"/>
    <w:rsid w:val="001247C5"/>
    <w:rsid w:val="00127893"/>
    <w:rsid w:val="001312BB"/>
    <w:rsid w:val="00137D90"/>
    <w:rsid w:val="00141FB6"/>
    <w:rsid w:val="00142A6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5D22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385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3111"/>
    <w:rsid w:val="002F4AEC"/>
    <w:rsid w:val="002F6616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7CA1"/>
    <w:rsid w:val="003606AE"/>
    <w:rsid w:val="00361FE9"/>
    <w:rsid w:val="003624F2"/>
    <w:rsid w:val="00363854"/>
    <w:rsid w:val="00364315"/>
    <w:rsid w:val="003643E2"/>
    <w:rsid w:val="00370155"/>
    <w:rsid w:val="0037047D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4256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079F8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A03F7"/>
    <w:rsid w:val="004A081C"/>
    <w:rsid w:val="004A123F"/>
    <w:rsid w:val="004A2172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5516"/>
    <w:rsid w:val="005B5D2B"/>
    <w:rsid w:val="005B7116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26D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50BFC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29FE"/>
    <w:rsid w:val="006A6068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0FF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31E4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12C3"/>
    <w:rsid w:val="00802243"/>
    <w:rsid w:val="008023D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680A"/>
    <w:rsid w:val="008806EB"/>
    <w:rsid w:val="008826F2"/>
    <w:rsid w:val="008845BA"/>
    <w:rsid w:val="00885203"/>
    <w:rsid w:val="008859CA"/>
    <w:rsid w:val="008861EE"/>
    <w:rsid w:val="00890B59"/>
    <w:rsid w:val="008930D7"/>
    <w:rsid w:val="008947A7"/>
    <w:rsid w:val="0089622C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7785"/>
    <w:rsid w:val="008C0809"/>
    <w:rsid w:val="008C132C"/>
    <w:rsid w:val="008C3FD0"/>
    <w:rsid w:val="008D27A5"/>
    <w:rsid w:val="008D2AAB"/>
    <w:rsid w:val="008D309C"/>
    <w:rsid w:val="008D58F9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23A6"/>
    <w:rsid w:val="00924EA9"/>
    <w:rsid w:val="00925CE1"/>
    <w:rsid w:val="00925F5C"/>
    <w:rsid w:val="00930897"/>
    <w:rsid w:val="009320D2"/>
    <w:rsid w:val="00932C77"/>
    <w:rsid w:val="0093417F"/>
    <w:rsid w:val="00934AC2"/>
    <w:rsid w:val="009375BB"/>
    <w:rsid w:val="009418E9"/>
    <w:rsid w:val="00946044"/>
    <w:rsid w:val="009465AB"/>
    <w:rsid w:val="00946DEE"/>
    <w:rsid w:val="00953499"/>
    <w:rsid w:val="00954A16"/>
    <w:rsid w:val="0095696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3EA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7E52"/>
    <w:rsid w:val="00AB1655"/>
    <w:rsid w:val="00AB1873"/>
    <w:rsid w:val="00AB2C05"/>
    <w:rsid w:val="00AB3536"/>
    <w:rsid w:val="00AB474B"/>
    <w:rsid w:val="00AB509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5165A"/>
    <w:rsid w:val="00B524C1"/>
    <w:rsid w:val="00B52C8D"/>
    <w:rsid w:val="00B564BF"/>
    <w:rsid w:val="00B6104E"/>
    <w:rsid w:val="00B610C7"/>
    <w:rsid w:val="00B61729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33C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0466"/>
    <w:rsid w:val="00D22160"/>
    <w:rsid w:val="00D22172"/>
    <w:rsid w:val="00D2301B"/>
    <w:rsid w:val="00D239EE"/>
    <w:rsid w:val="00D30534"/>
    <w:rsid w:val="00D35728"/>
    <w:rsid w:val="00D36976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7E00"/>
    <w:rsid w:val="00DA00BC"/>
    <w:rsid w:val="00DA0E22"/>
    <w:rsid w:val="00DA1EFA"/>
    <w:rsid w:val="00DA25E7"/>
    <w:rsid w:val="00DA2EB0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65D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44C6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C2"/>
    <w:rsid w:val="00F27573"/>
    <w:rsid w:val="00F31876"/>
    <w:rsid w:val="00F31C67"/>
    <w:rsid w:val="00F36FE0"/>
    <w:rsid w:val="00F37EA8"/>
    <w:rsid w:val="00F40B14"/>
    <w:rsid w:val="00F41186"/>
    <w:rsid w:val="00F41EEF"/>
    <w:rsid w:val="00F41FAC"/>
    <w:rsid w:val="00F423D3"/>
    <w:rsid w:val="00F44349"/>
    <w:rsid w:val="00F4569E"/>
    <w:rsid w:val="00F45AFC"/>
    <w:rsid w:val="00F462F4"/>
    <w:rsid w:val="00F50130"/>
    <w:rsid w:val="00F52402"/>
    <w:rsid w:val="00F5605D"/>
    <w:rsid w:val="00F6514B"/>
    <w:rsid w:val="00F6587F"/>
    <w:rsid w:val="00F67981"/>
    <w:rsid w:val="00F706CA"/>
    <w:rsid w:val="00F70F8D"/>
    <w:rsid w:val="00F71C5A"/>
    <w:rsid w:val="00F733A4"/>
    <w:rsid w:val="00F7758F"/>
    <w:rsid w:val="00F82811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299"/>
    <w:rsid w:val="00FE652E"/>
    <w:rsid w:val="00FE71FE"/>
    <w:rsid w:val="00FF0A28"/>
    <w:rsid w:val="00FF0B8B"/>
    <w:rsid w:val="00FF0E93"/>
    <w:rsid w:val="00FF13C3"/>
    <w:rsid w:val="00FF34C8"/>
    <w:rsid w:val="00FF411D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A172D46-9F3F-4F0C-A863-06F63F89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6A29F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A29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A29F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29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29FE"/>
    <w:rPr>
      <w:b/>
      <w:bCs/>
    </w:rPr>
  </w:style>
  <w:style w:type="paragraph" w:styleId="Revision">
    <w:name w:val="Revision"/>
    <w:hidden/>
    <w:uiPriority w:val="99"/>
    <w:semiHidden/>
    <w:rsid w:val="006A29FE"/>
    <w:rPr>
      <w:sz w:val="24"/>
      <w:szCs w:val="24"/>
    </w:rPr>
  </w:style>
  <w:style w:type="character" w:styleId="Hyperlink">
    <w:name w:val="Hyperlink"/>
    <w:basedOn w:val="DefaultParagraphFont"/>
    <w:unhideWhenUsed/>
    <w:rsid w:val="00D369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2705</Characters>
  <Application>Microsoft Office Word</Application>
  <DocSecurity>4</DocSecurity>
  <Lines>68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HB04108 (Committee Report (Substituted))</vt:lpstr>
    </vt:vector>
  </TitlesOfParts>
  <Company>State of Texas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87R 21438</dc:subject>
  <dc:creator>State of Texas</dc:creator>
  <dc:description>HB 4108 by Guerra-(H)Pensions, Investments &amp; Financial Services (Substitute Document Number: 87R 20130)</dc:description>
  <cp:lastModifiedBy>Stacey Nicchio</cp:lastModifiedBy>
  <cp:revision>2</cp:revision>
  <cp:lastPrinted>2003-11-26T17:21:00Z</cp:lastPrinted>
  <dcterms:created xsi:type="dcterms:W3CDTF">2021-05-01T00:06:00Z</dcterms:created>
  <dcterms:modified xsi:type="dcterms:W3CDTF">2021-05-01T00:06:00Z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21.112.1987</vt:lpwstr>
  </property>
</Properties>
</file>