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0279D" w14:paraId="1465FCFA" w14:textId="77777777" w:rsidTr="00345119">
        <w:tc>
          <w:tcPr>
            <w:tcW w:w="9576" w:type="dxa"/>
            <w:noWrap/>
          </w:tcPr>
          <w:p w14:paraId="3D3E26DF" w14:textId="77777777" w:rsidR="008423E4" w:rsidRPr="0022177D" w:rsidRDefault="0026412E" w:rsidP="009F354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7A6ACA2" w14:textId="77777777" w:rsidR="008423E4" w:rsidRPr="0022177D" w:rsidRDefault="008423E4" w:rsidP="009F3546">
      <w:pPr>
        <w:jc w:val="center"/>
      </w:pPr>
    </w:p>
    <w:p w14:paraId="403983F7" w14:textId="77777777" w:rsidR="008423E4" w:rsidRPr="00B31F0E" w:rsidRDefault="008423E4" w:rsidP="009F3546"/>
    <w:p w14:paraId="79886EA6" w14:textId="77777777" w:rsidR="008423E4" w:rsidRPr="00742794" w:rsidRDefault="008423E4" w:rsidP="009F354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0279D" w14:paraId="4B3B3038" w14:textId="77777777" w:rsidTr="00345119">
        <w:tc>
          <w:tcPr>
            <w:tcW w:w="9576" w:type="dxa"/>
          </w:tcPr>
          <w:p w14:paraId="0209C0EF" w14:textId="77777777" w:rsidR="008423E4" w:rsidRPr="00861995" w:rsidRDefault="0026412E" w:rsidP="009F3546">
            <w:pPr>
              <w:jc w:val="right"/>
            </w:pPr>
            <w:r>
              <w:t>C.S.H.B. 4120</w:t>
            </w:r>
          </w:p>
        </w:tc>
      </w:tr>
      <w:tr w:rsidR="0080279D" w14:paraId="2D8642A3" w14:textId="77777777" w:rsidTr="00345119">
        <w:tc>
          <w:tcPr>
            <w:tcW w:w="9576" w:type="dxa"/>
          </w:tcPr>
          <w:p w14:paraId="38B5B24F" w14:textId="77777777" w:rsidR="008423E4" w:rsidRPr="00861995" w:rsidRDefault="0026412E" w:rsidP="009F3546">
            <w:pPr>
              <w:jc w:val="right"/>
            </w:pPr>
            <w:r>
              <w:t xml:space="preserve">By: </w:t>
            </w:r>
            <w:r w:rsidR="005648D3">
              <w:t>Deshotel</w:t>
            </w:r>
          </w:p>
        </w:tc>
      </w:tr>
      <w:tr w:rsidR="0080279D" w14:paraId="1A61921B" w14:textId="77777777" w:rsidTr="00345119">
        <w:tc>
          <w:tcPr>
            <w:tcW w:w="9576" w:type="dxa"/>
          </w:tcPr>
          <w:p w14:paraId="12B73B10" w14:textId="77777777" w:rsidR="008423E4" w:rsidRPr="00861995" w:rsidRDefault="0026412E" w:rsidP="009F3546">
            <w:pPr>
              <w:jc w:val="right"/>
            </w:pPr>
            <w:r>
              <w:t>State Affairs</w:t>
            </w:r>
          </w:p>
        </w:tc>
      </w:tr>
      <w:tr w:rsidR="0080279D" w14:paraId="1D4560A8" w14:textId="77777777" w:rsidTr="00345119">
        <w:tc>
          <w:tcPr>
            <w:tcW w:w="9576" w:type="dxa"/>
          </w:tcPr>
          <w:p w14:paraId="2C2EDF9D" w14:textId="77777777" w:rsidR="008423E4" w:rsidRDefault="0026412E" w:rsidP="009F3546">
            <w:pPr>
              <w:jc w:val="right"/>
            </w:pPr>
            <w:r>
              <w:t>Committee Report (Substituted)</w:t>
            </w:r>
          </w:p>
        </w:tc>
      </w:tr>
    </w:tbl>
    <w:p w14:paraId="0999BF9D" w14:textId="77777777" w:rsidR="008423E4" w:rsidRDefault="008423E4" w:rsidP="009F3546">
      <w:pPr>
        <w:tabs>
          <w:tab w:val="right" w:pos="9360"/>
        </w:tabs>
      </w:pPr>
    </w:p>
    <w:p w14:paraId="6A588E73" w14:textId="77777777" w:rsidR="008423E4" w:rsidRDefault="008423E4" w:rsidP="009F3546"/>
    <w:p w14:paraId="625DB641" w14:textId="77777777" w:rsidR="008423E4" w:rsidRDefault="008423E4" w:rsidP="009F354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0279D" w14:paraId="2438FAFF" w14:textId="77777777" w:rsidTr="00345119">
        <w:tc>
          <w:tcPr>
            <w:tcW w:w="9576" w:type="dxa"/>
          </w:tcPr>
          <w:p w14:paraId="4025CBB5" w14:textId="77777777" w:rsidR="008423E4" w:rsidRPr="00A8133F" w:rsidRDefault="0026412E" w:rsidP="009F354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504AE68" w14:textId="77777777" w:rsidR="008423E4" w:rsidRDefault="008423E4" w:rsidP="009F3546"/>
          <w:p w14:paraId="128FED72" w14:textId="3FCCBE99" w:rsidR="007646AF" w:rsidRDefault="0026412E" w:rsidP="009F3546">
            <w:pPr>
              <w:pStyle w:val="Header"/>
              <w:jc w:val="both"/>
            </w:pPr>
            <w:r>
              <w:t xml:space="preserve">Winter </w:t>
            </w:r>
            <w:r w:rsidR="009611F9">
              <w:t>Storm Uri, which struck Texas</w:t>
            </w:r>
            <w:r>
              <w:t xml:space="preserve"> in February </w:t>
            </w:r>
            <w:r w:rsidR="009611F9">
              <w:t xml:space="preserve">of this year and crippled the state's power grid for </w:t>
            </w:r>
            <w:r>
              <w:t>over</w:t>
            </w:r>
            <w:r w:rsidR="009611F9">
              <w:t xml:space="preserve"> a week,</w:t>
            </w:r>
            <w:r>
              <w:t xml:space="preserve"> demonstrated that local communit</w:t>
            </w:r>
            <w:r w:rsidR="009611F9">
              <w:t xml:space="preserve">ies </w:t>
            </w:r>
            <w:r>
              <w:t xml:space="preserve">needed </w:t>
            </w:r>
            <w:r w:rsidR="009611F9">
              <w:t xml:space="preserve">additional tools </w:t>
            </w:r>
            <w:r>
              <w:t xml:space="preserve">to keep critical community facilities operational during a power outage. </w:t>
            </w:r>
            <w:r w:rsidR="009611F9">
              <w:t>In addition to providing reliability and resiliency to school campuses, e</w:t>
            </w:r>
            <w:r>
              <w:t>lectric buses</w:t>
            </w:r>
            <w:r w:rsidR="009611F9">
              <w:t xml:space="preserve"> and</w:t>
            </w:r>
            <w:r>
              <w:t xml:space="preserve"> on-site solar</w:t>
            </w:r>
            <w:r w:rsidR="009611F9">
              <w:t xml:space="preserve"> a</w:t>
            </w:r>
            <w:r>
              <w:t xml:space="preserve">nd </w:t>
            </w:r>
            <w:r w:rsidR="009611F9">
              <w:t>energy</w:t>
            </w:r>
            <w:r>
              <w:t xml:space="preserve"> storag</w:t>
            </w:r>
            <w:r>
              <w:t xml:space="preserve">e </w:t>
            </w:r>
            <w:r w:rsidR="009611F9">
              <w:t xml:space="preserve">facilities </w:t>
            </w:r>
            <w:r>
              <w:t>can supply energy back to the electric grid</w:t>
            </w:r>
            <w:r w:rsidR="009611F9">
              <w:t xml:space="preserve"> as a whole</w:t>
            </w:r>
            <w:r>
              <w:t xml:space="preserve"> and electric school buses can operate as mobile battery storage back-up power solutions in a local community. Additionally, these technologies provide operational cost savings and potentia</w:t>
            </w:r>
            <w:r>
              <w:t xml:space="preserve">l new revenue streams for public schools, allowing more money to be spent on student learning instead. </w:t>
            </w:r>
          </w:p>
          <w:p w14:paraId="66523300" w14:textId="77777777" w:rsidR="007646AF" w:rsidRDefault="007646AF" w:rsidP="009F3546">
            <w:pPr>
              <w:pStyle w:val="Header"/>
              <w:jc w:val="both"/>
            </w:pPr>
          </w:p>
          <w:p w14:paraId="1FA3827B" w14:textId="7AB9A07F" w:rsidR="008423E4" w:rsidRDefault="0026412E" w:rsidP="009F3546">
            <w:pPr>
              <w:pStyle w:val="Header"/>
              <w:jc w:val="both"/>
            </w:pPr>
            <w:r>
              <w:t>However, public school districts interested in acquiring electric vehicles for their transportation fleet have limited options to assist with offsettin</w:t>
            </w:r>
            <w:r>
              <w:t xml:space="preserve">g the higher initial capital cost of purchasing electric buses. Expanding the existing Texas </w:t>
            </w:r>
            <w:r w:rsidR="006E1676">
              <w:t xml:space="preserve">clean school bus </w:t>
            </w:r>
            <w:r>
              <w:t xml:space="preserve">program will enable districts to have more options for offsetting costs of purchasing electric school buses and adopting them into their fleet. </w:t>
            </w:r>
            <w:r w:rsidR="006E1676">
              <w:t>C.S.H.B. 4120 seeks to provide for the expansion of that program while also addressing</w:t>
            </w:r>
            <w:r>
              <w:t xml:space="preserve"> market and regulatory barriers </w:t>
            </w:r>
            <w:r w:rsidR="006E1676">
              <w:t xml:space="preserve">that </w:t>
            </w:r>
            <w:r>
              <w:t xml:space="preserve">exist to the </w:t>
            </w:r>
            <w:r w:rsidR="006E1676">
              <w:t>use of certain school energy resources</w:t>
            </w:r>
            <w:r>
              <w:t>.</w:t>
            </w:r>
          </w:p>
          <w:p w14:paraId="5ED17316" w14:textId="77777777" w:rsidR="008423E4" w:rsidRPr="00E26B13" w:rsidRDefault="008423E4" w:rsidP="009F3546">
            <w:pPr>
              <w:rPr>
                <w:b/>
              </w:rPr>
            </w:pPr>
          </w:p>
        </w:tc>
      </w:tr>
      <w:tr w:rsidR="0080279D" w14:paraId="35410784" w14:textId="77777777" w:rsidTr="00345119">
        <w:tc>
          <w:tcPr>
            <w:tcW w:w="9576" w:type="dxa"/>
          </w:tcPr>
          <w:p w14:paraId="3901C09C" w14:textId="77777777" w:rsidR="0017725B" w:rsidRDefault="0026412E" w:rsidP="009F35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346EE73" w14:textId="77777777" w:rsidR="0017725B" w:rsidRDefault="0017725B" w:rsidP="009F3546">
            <w:pPr>
              <w:rPr>
                <w:b/>
                <w:u w:val="single"/>
              </w:rPr>
            </w:pPr>
          </w:p>
          <w:p w14:paraId="76A27EAC" w14:textId="39CE833C" w:rsidR="00DE202C" w:rsidRPr="00DE202C" w:rsidRDefault="0026412E" w:rsidP="009F3546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7BF65C54" w14:textId="77777777" w:rsidR="0017725B" w:rsidRPr="0017725B" w:rsidRDefault="0017725B" w:rsidP="009F3546">
            <w:pPr>
              <w:rPr>
                <w:b/>
                <w:u w:val="single"/>
              </w:rPr>
            </w:pPr>
          </w:p>
        </w:tc>
      </w:tr>
      <w:tr w:rsidR="0080279D" w14:paraId="19CC2ABB" w14:textId="77777777" w:rsidTr="00345119">
        <w:tc>
          <w:tcPr>
            <w:tcW w:w="9576" w:type="dxa"/>
          </w:tcPr>
          <w:p w14:paraId="1ACA1651" w14:textId="77777777" w:rsidR="008423E4" w:rsidRPr="00A8133F" w:rsidRDefault="0026412E" w:rsidP="009F354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5C6E037" w14:textId="77777777" w:rsidR="008423E4" w:rsidRDefault="008423E4" w:rsidP="009F3546"/>
          <w:p w14:paraId="4B564209" w14:textId="1853E818" w:rsidR="00DE202C" w:rsidRDefault="0026412E" w:rsidP="009F35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</w:t>
            </w:r>
            <w:r>
              <w:t>mittee's opinion that this bill does not expressly grant any additional rulemaking authority to a state officer, department, agency, or institution.</w:t>
            </w:r>
          </w:p>
          <w:p w14:paraId="6101B6BC" w14:textId="77777777" w:rsidR="008423E4" w:rsidRPr="00E21FDC" w:rsidRDefault="008423E4" w:rsidP="009F3546">
            <w:pPr>
              <w:rPr>
                <w:b/>
              </w:rPr>
            </w:pPr>
          </w:p>
        </w:tc>
      </w:tr>
      <w:tr w:rsidR="0080279D" w14:paraId="10E57A2A" w14:textId="77777777" w:rsidTr="00345119">
        <w:tc>
          <w:tcPr>
            <w:tcW w:w="9576" w:type="dxa"/>
          </w:tcPr>
          <w:p w14:paraId="48901901" w14:textId="77777777" w:rsidR="008423E4" w:rsidRPr="00A8133F" w:rsidRDefault="0026412E" w:rsidP="009F354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B1C29BB" w14:textId="77777777" w:rsidR="008423E4" w:rsidRDefault="008423E4" w:rsidP="009F3546"/>
          <w:p w14:paraId="6279DA20" w14:textId="0059E95D" w:rsidR="009C36CD" w:rsidRDefault="0026412E" w:rsidP="009F35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4120 amends the </w:t>
            </w:r>
            <w:r w:rsidRPr="000130C2">
              <w:t>Utilities Code</w:t>
            </w:r>
            <w:r>
              <w:t xml:space="preserve"> to require a </w:t>
            </w:r>
            <w:r w:rsidR="009550E0">
              <w:t xml:space="preserve">public </w:t>
            </w:r>
            <w:r w:rsidRPr="000130C2">
              <w:t>school district</w:t>
            </w:r>
            <w:r w:rsidRPr="000130C2">
              <w:t xml:space="preserve"> or open-enrollment charter school that installs electric vehicle charging equipment </w:t>
            </w:r>
            <w:r w:rsidR="002D2A48">
              <w:t>to</w:t>
            </w:r>
            <w:r w:rsidRPr="000130C2">
              <w:t xml:space="preserve"> contract with an electric cooperative, an electric utility, a municipally owned utility, or a transmission and distribution utility to</w:t>
            </w:r>
            <w:r>
              <w:t xml:space="preserve"> do the following:</w:t>
            </w:r>
          </w:p>
          <w:p w14:paraId="77B1ECBE" w14:textId="145A5347" w:rsidR="000130C2" w:rsidRDefault="0026412E" w:rsidP="009F354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0130C2">
              <w:t>install make-re</w:t>
            </w:r>
            <w:r w:rsidRPr="000130C2">
              <w:t>ady infrastructure on the cooperative's or utility's side of the meter required to facilitate interconnection of the equipment, including a new service connection, transformer, conductor, connector, conduit, or meter; and</w:t>
            </w:r>
          </w:p>
          <w:p w14:paraId="7FD41D2C" w14:textId="68399100" w:rsidR="000130C2" w:rsidRDefault="0026412E" w:rsidP="009F354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0130C2">
              <w:t>provide any necessary construction</w:t>
            </w:r>
            <w:r w:rsidRPr="000130C2">
              <w:t xml:space="preserve"> on the cooperative's or utility's side of the meter to comply with local regulations related to the equipment.</w:t>
            </w:r>
          </w:p>
          <w:p w14:paraId="6DBC3CCB" w14:textId="5E9739EF" w:rsidR="002077A2" w:rsidRDefault="0026412E" w:rsidP="009F3546">
            <w:pPr>
              <w:pStyle w:val="Header"/>
              <w:jc w:val="both"/>
            </w:pPr>
            <w:r>
              <w:t xml:space="preserve">The bill </w:t>
            </w:r>
            <w:r w:rsidR="009E717E">
              <w:t>requires</w:t>
            </w:r>
            <w:r w:rsidR="00A94CD6">
              <w:t xml:space="preserve"> </w:t>
            </w:r>
            <w:r w:rsidR="009E717E">
              <w:t xml:space="preserve">the </w:t>
            </w:r>
            <w:r w:rsidR="002D2A48" w:rsidRPr="002D2A48">
              <w:t>cooperatives</w:t>
            </w:r>
            <w:r w:rsidR="009E717E">
              <w:t xml:space="preserve"> and</w:t>
            </w:r>
            <w:r w:rsidR="002D2A48" w:rsidRPr="002D2A48">
              <w:t xml:space="preserve"> utilities </w:t>
            </w:r>
            <w:r w:rsidR="002D2A48">
              <w:t>to</w:t>
            </w:r>
            <w:r w:rsidR="002D2A48" w:rsidRPr="002D2A48">
              <w:t xml:space="preserve"> use their best efforts to</w:t>
            </w:r>
            <w:r w:rsidR="002D2A48">
              <w:t xml:space="preserve"> </w:t>
            </w:r>
            <w:r w:rsidR="002D2A48" w:rsidRPr="002D2A48">
              <w:t>encourage and facilitate interconnection processes for school energy sources</w:t>
            </w:r>
            <w:r w:rsidR="002D2A48">
              <w:t xml:space="preserve"> and to </w:t>
            </w:r>
            <w:r w:rsidR="002D2A48" w:rsidRPr="002D2A48">
              <w:t xml:space="preserve">provide information about distribution system capacity and needs to a district or charter school, or a person acting on </w:t>
            </w:r>
            <w:r w:rsidR="009550E0">
              <w:t xml:space="preserve">the </w:t>
            </w:r>
            <w:r w:rsidR="002D2A48" w:rsidRPr="002D2A48">
              <w:t>district</w:t>
            </w:r>
            <w:r w:rsidR="009550E0">
              <w:t>'s</w:t>
            </w:r>
            <w:r w:rsidR="002D2A48" w:rsidRPr="002D2A48">
              <w:t xml:space="preserve"> or charter school</w:t>
            </w:r>
            <w:r w:rsidR="009550E0">
              <w:t>'s behalf</w:t>
            </w:r>
            <w:r w:rsidR="002D2A48" w:rsidRPr="002D2A48">
              <w:t>, to facilitate interconnection of school energy sources.</w:t>
            </w:r>
            <w:r w:rsidR="00925B6A">
              <w:t xml:space="preserve"> </w:t>
            </w:r>
            <w:r w:rsidR="00A36EB1">
              <w:t xml:space="preserve">The bill defines "school energy </w:t>
            </w:r>
            <w:r w:rsidR="0007539C">
              <w:t>source</w:t>
            </w:r>
            <w:r w:rsidR="00A36EB1">
              <w:t>" as a source that is on-site distributed renewable generation, energy storage, or an electric school bus and</w:t>
            </w:r>
            <w:r w:rsidR="003250CF">
              <w:t xml:space="preserve"> that is</w:t>
            </w:r>
            <w:r w:rsidR="00A36EB1">
              <w:t xml:space="preserve"> owned, leased, or used by a district or charter school. </w:t>
            </w:r>
          </w:p>
          <w:p w14:paraId="699E185C" w14:textId="77777777" w:rsidR="002077A2" w:rsidRDefault="002077A2" w:rsidP="009F35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7700D69" w14:textId="4BBD3302" w:rsidR="000130C2" w:rsidRDefault="0026412E" w:rsidP="009F35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4120</w:t>
            </w:r>
            <w:r w:rsidR="00925B6A" w:rsidRPr="00925B6A">
              <w:t xml:space="preserve"> requires</w:t>
            </w:r>
            <w:r w:rsidR="00925B6A">
              <w:t xml:space="preserve"> </w:t>
            </w:r>
            <w:r w:rsidR="00925B6A" w:rsidRPr="00925B6A">
              <w:t xml:space="preserve">each electric utility that provides electric service to a retail customer </w:t>
            </w:r>
            <w:r w:rsidR="00925B6A">
              <w:t>to</w:t>
            </w:r>
            <w:r w:rsidR="00925B6A" w:rsidRPr="00925B6A">
              <w:t xml:space="preserve"> offer to a district or charter school served by the utility time-of-use rates to promote efficient</w:t>
            </w:r>
            <w:r w:rsidR="00925B6A">
              <w:t xml:space="preserve"> </w:t>
            </w:r>
            <w:r w:rsidR="00925B6A" w:rsidRPr="00925B6A">
              <w:t>charging of electric school buses</w:t>
            </w:r>
            <w:r w:rsidR="00925B6A">
              <w:t xml:space="preserve"> and </w:t>
            </w:r>
            <w:r w:rsidR="00925B6A" w:rsidRPr="00925B6A">
              <w:t>energy use in school buildings</w:t>
            </w:r>
            <w:r w:rsidR="00925B6A">
              <w:t>.</w:t>
            </w:r>
            <w:r w:rsidR="007319B6">
              <w:t xml:space="preserve"> </w:t>
            </w:r>
            <w:r w:rsidR="007319B6" w:rsidRPr="00A36EB1">
              <w:t>The</w:t>
            </w:r>
            <w:r w:rsidR="007319B6">
              <w:t xml:space="preserve"> bill requires </w:t>
            </w:r>
            <w:r w:rsidR="007319B6" w:rsidRPr="007319B6">
              <w:t>each transmission and distribution utility in the ERCOT power region</w:t>
            </w:r>
            <w:r w:rsidR="007319B6">
              <w:t xml:space="preserve"> to offer a rate structure </w:t>
            </w:r>
            <w:r w:rsidR="007319B6" w:rsidRPr="007319B6">
              <w:t xml:space="preserve">that allows </w:t>
            </w:r>
            <w:r w:rsidR="007319B6">
              <w:t>any</w:t>
            </w:r>
            <w:r w:rsidR="007319B6" w:rsidRPr="007319B6">
              <w:t xml:space="preserve"> retail electric provider in its service area that serves a</w:t>
            </w:r>
            <w:r w:rsidR="007319B6">
              <w:t xml:space="preserve"> district or charter school </w:t>
            </w:r>
            <w:r w:rsidR="007319B6" w:rsidRPr="007319B6">
              <w:t xml:space="preserve">to offer time-of-use rates to the district or school to promote </w:t>
            </w:r>
            <w:r w:rsidR="007319B6">
              <w:t xml:space="preserve">such charging and energy use. </w:t>
            </w:r>
            <w:r w:rsidR="000E3AA3">
              <w:t xml:space="preserve">The bill clarifies that these provisions do not </w:t>
            </w:r>
            <w:r w:rsidR="000E3AA3" w:rsidRPr="000E3AA3">
              <w:t>require an electric utility to initiate a new ratemaking proceeding</w:t>
            </w:r>
            <w:r w:rsidR="000E3AA3">
              <w:t xml:space="preserve"> and that the utility must begin complying with these provisions beginning with the utility's first ratemaking proceeding that begin</w:t>
            </w:r>
            <w:r w:rsidR="000C3CD7">
              <w:t>s</w:t>
            </w:r>
            <w:r w:rsidR="000E3AA3">
              <w:t xml:space="preserve"> after the bill's effective date.</w:t>
            </w:r>
          </w:p>
          <w:p w14:paraId="70BF2253" w14:textId="77777777" w:rsidR="009E717E" w:rsidRDefault="009E717E" w:rsidP="009F35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F94B84B" w14:textId="0AD568CD" w:rsidR="008423E4" w:rsidRDefault="0026412E" w:rsidP="009F3546">
            <w:pPr>
              <w:pStyle w:val="Header"/>
              <w:jc w:val="both"/>
            </w:pPr>
            <w:r>
              <w:t xml:space="preserve">C.S.H.B. 4120 authorizes a district or charter school, </w:t>
            </w:r>
            <w:r w:rsidRPr="009E717E">
              <w:t xml:space="preserve">or a person acting on </w:t>
            </w:r>
            <w:r w:rsidR="002077A2">
              <w:t xml:space="preserve">the district's or charter school's </w:t>
            </w:r>
            <w:r w:rsidRPr="009E717E">
              <w:t>behalf</w:t>
            </w:r>
            <w:r>
              <w:t xml:space="preserve">, to </w:t>
            </w:r>
            <w:r w:rsidRPr="009E717E">
              <w:t>provide distribution system grid services</w:t>
            </w:r>
            <w:r w:rsidR="001F263A">
              <w:t xml:space="preserve"> using a school energy source or a combination of school energy sources</w:t>
            </w:r>
            <w:r w:rsidRPr="009E717E">
              <w:t xml:space="preserve"> </w:t>
            </w:r>
            <w:r w:rsidR="00597B97">
              <w:t xml:space="preserve">and to receive appropriate compensation for those services. The bill requires </w:t>
            </w:r>
            <w:r w:rsidR="002077A2">
              <w:t xml:space="preserve">the </w:t>
            </w:r>
            <w:r w:rsidR="00597B97">
              <w:t xml:space="preserve">independent organization certified by the Public Utility Commission of Texas to perform certain essential market functions for </w:t>
            </w:r>
            <w:r w:rsidR="002077A2">
              <w:t xml:space="preserve">the ERCOT </w:t>
            </w:r>
            <w:r w:rsidR="00597B97">
              <w:t xml:space="preserve">power region to adopt </w:t>
            </w:r>
            <w:r w:rsidR="00597B97" w:rsidRPr="00597B97">
              <w:t>rules or protocols to allow a</w:t>
            </w:r>
            <w:r w:rsidR="00597B97">
              <w:t xml:space="preserve"> district or charter school, </w:t>
            </w:r>
            <w:r w:rsidR="003B7B87" w:rsidRPr="003B7B87">
              <w:t xml:space="preserve">or a person acting on </w:t>
            </w:r>
            <w:r w:rsidR="002077A2">
              <w:t xml:space="preserve">the district's or charter school's </w:t>
            </w:r>
            <w:r w:rsidR="003B7B87" w:rsidRPr="003B7B87">
              <w:t>behalf</w:t>
            </w:r>
            <w:r w:rsidR="003B7B87">
              <w:t xml:space="preserve">, to </w:t>
            </w:r>
            <w:r w:rsidR="003B7B87" w:rsidRPr="003B7B87">
              <w:t>sell energy and ancillary services from school energy sources in the wholesale market without registering as a power generation company.</w:t>
            </w:r>
            <w:r w:rsidR="00925B6A">
              <w:t xml:space="preserve"> </w:t>
            </w:r>
          </w:p>
          <w:p w14:paraId="376F160C" w14:textId="77777777" w:rsidR="007319B6" w:rsidRDefault="007319B6" w:rsidP="009F3546">
            <w:pPr>
              <w:pStyle w:val="Header"/>
              <w:jc w:val="both"/>
            </w:pPr>
          </w:p>
          <w:p w14:paraId="1980DD42" w14:textId="56AFDA3B" w:rsidR="00CA7F9D" w:rsidRDefault="0026412E" w:rsidP="009F3546">
            <w:pPr>
              <w:pStyle w:val="Header"/>
              <w:jc w:val="both"/>
            </w:pPr>
            <w:r>
              <w:t xml:space="preserve">C.S.H.B. 4120 amends the </w:t>
            </w:r>
            <w:r w:rsidRPr="007319B6">
              <w:t>Health and Safety Code</w:t>
            </w:r>
            <w:r>
              <w:t xml:space="preserve"> to include </w:t>
            </w:r>
            <w:r w:rsidR="00FA1D89">
              <w:t xml:space="preserve">the </w:t>
            </w:r>
            <w:r w:rsidR="00FA1D89" w:rsidRPr="00FA1D89">
              <w:t>installation of charging infrastructure for electric school buses</w:t>
            </w:r>
            <w:r w:rsidR="00FA1D89">
              <w:t xml:space="preserve"> </w:t>
            </w:r>
            <w:r w:rsidR="000E3AA3">
              <w:t xml:space="preserve">and the </w:t>
            </w:r>
            <w:r w:rsidR="003250CF">
              <w:t>conversion</w:t>
            </w:r>
            <w:r w:rsidR="000E3AA3">
              <w:t xml:space="preserve"> of an eligible school bus </w:t>
            </w:r>
            <w:r w:rsidR="00FA1D89">
              <w:t>a</w:t>
            </w:r>
            <w:r>
              <w:t>mong the</w:t>
            </w:r>
            <w:r w:rsidR="00FA1D89">
              <w:t xml:space="preserve"> project</w:t>
            </w:r>
            <w:r>
              <w:t>s</w:t>
            </w:r>
            <w:r w:rsidR="00FA1D89">
              <w:t xml:space="preserve"> eligible for consideration for a grant under the clean school bus program. The bill </w:t>
            </w:r>
            <w:r w:rsidR="00FF1DD4">
              <w:t xml:space="preserve">authorizes a </w:t>
            </w:r>
            <w:r w:rsidR="00FF1DD4" w:rsidRPr="00FF1DD4">
              <w:t xml:space="preserve">private entity that leases school buses or provides school bus services or supporting infrastructure to a district by contract </w:t>
            </w:r>
            <w:r w:rsidR="00FF1DD4">
              <w:t>to</w:t>
            </w:r>
            <w:r w:rsidR="00FF1DD4" w:rsidRPr="00FF1DD4">
              <w:t xml:space="preserve"> apply for and receive a grant under the program.</w:t>
            </w:r>
            <w:r w:rsidR="00DE11D1">
              <w:t xml:space="preserve"> </w:t>
            </w:r>
            <w:r w:rsidR="000E3AA3">
              <w:t xml:space="preserve">The bill </w:t>
            </w:r>
            <w:r w:rsidR="001F263A">
              <w:t xml:space="preserve">provides that </w:t>
            </w:r>
            <w:r w:rsidR="000E3AA3">
              <w:t xml:space="preserve">a grant recipient </w:t>
            </w:r>
            <w:r w:rsidR="001F263A">
              <w:t xml:space="preserve">may </w:t>
            </w:r>
            <w:r w:rsidR="000E3AA3">
              <w:t>use the grant to pay reasonable and necessary expenses incurred for the labor needed to install vehicle charging infrastructure.</w:t>
            </w:r>
          </w:p>
          <w:p w14:paraId="64B93E87" w14:textId="77777777" w:rsidR="00CA7F9D" w:rsidRDefault="00CA7F9D" w:rsidP="009F3546">
            <w:pPr>
              <w:pStyle w:val="Header"/>
              <w:jc w:val="both"/>
            </w:pPr>
          </w:p>
          <w:p w14:paraId="3A8E8C30" w14:textId="4205297B" w:rsidR="00CA7F9D" w:rsidRDefault="0026412E" w:rsidP="009F3546">
            <w:pPr>
              <w:pStyle w:val="Header"/>
              <w:jc w:val="both"/>
            </w:pPr>
            <w:r>
              <w:t xml:space="preserve">C.S.H.B. 4120 </w:t>
            </w:r>
            <w:r w:rsidR="00544EAB">
              <w:t xml:space="preserve">requires the criteria </w:t>
            </w:r>
            <w:r w:rsidR="00544EAB" w:rsidRPr="00544EAB">
              <w:t>for setting priorities for projects eligible to receive grants</w:t>
            </w:r>
            <w:r w:rsidR="00544EAB">
              <w:t xml:space="preserve"> </w:t>
            </w:r>
            <w:r>
              <w:t xml:space="preserve">under the clean school bus program </w:t>
            </w:r>
            <w:r w:rsidR="00544EAB">
              <w:t xml:space="preserve">to </w:t>
            </w:r>
            <w:r w:rsidR="00544EAB" w:rsidRPr="00544EAB">
              <w:t>prioritize projects that achieve the greatest reductions in diesel exhaust, especially particulate matter</w:t>
            </w:r>
            <w:r w:rsidR="00544EAB">
              <w:t xml:space="preserve">. The bill requires the </w:t>
            </w:r>
            <w:r w:rsidR="00544EAB" w:rsidRPr="00544EAB">
              <w:t>Texas Commission on Environmental Quality</w:t>
            </w:r>
            <w:r w:rsidR="00544EAB">
              <w:t xml:space="preserve"> to </w:t>
            </w:r>
            <w:r w:rsidR="00544EAB" w:rsidRPr="00544EAB">
              <w:t>ensure that at least 75 percent of the money issued for grants</w:t>
            </w:r>
            <w:r>
              <w:t xml:space="preserve"> under the program</w:t>
            </w:r>
            <w:r w:rsidR="00544EAB">
              <w:t xml:space="preserve"> </w:t>
            </w:r>
            <w:r w:rsidR="00544EAB" w:rsidRPr="00544EAB">
              <w:t>is issued for projects to purchase electric buses or to convert d</w:t>
            </w:r>
            <w:r w:rsidR="003215E4">
              <w:t>iesel buses into electric buses</w:t>
            </w:r>
            <w:r>
              <w:t>.</w:t>
            </w:r>
            <w:r w:rsidR="003215E4">
              <w:t xml:space="preserve"> </w:t>
            </w:r>
          </w:p>
          <w:p w14:paraId="1230B6B5" w14:textId="77777777" w:rsidR="00CA7F9D" w:rsidRDefault="00CA7F9D" w:rsidP="009F3546">
            <w:pPr>
              <w:pStyle w:val="Header"/>
              <w:jc w:val="both"/>
            </w:pPr>
          </w:p>
          <w:p w14:paraId="7B83537B" w14:textId="622FB617" w:rsidR="00CA7F9D" w:rsidRDefault="0026412E" w:rsidP="009F3546">
            <w:pPr>
              <w:pStyle w:val="Header"/>
              <w:jc w:val="both"/>
            </w:pPr>
            <w:r>
              <w:t>C.S.H.B. 4120</w:t>
            </w:r>
            <w:r w:rsidR="003215E4">
              <w:t xml:space="preserve"> </w:t>
            </w:r>
            <w:r>
              <w:t xml:space="preserve">revises the </w:t>
            </w:r>
            <w:r w:rsidR="00DE202C">
              <w:t>require</w:t>
            </w:r>
            <w:r>
              <w:t>ments</w:t>
            </w:r>
            <w:r w:rsidR="007D468A">
              <w:t xml:space="preserve"> </w:t>
            </w:r>
            <w:r>
              <w:t xml:space="preserve">for </w:t>
            </w:r>
            <w:r w:rsidR="007D468A">
              <w:t xml:space="preserve">a school bus </w:t>
            </w:r>
            <w:r>
              <w:t xml:space="preserve">to qualify </w:t>
            </w:r>
            <w:r w:rsidR="007D468A">
              <w:t xml:space="preserve">for replacement under the </w:t>
            </w:r>
            <w:r>
              <w:t xml:space="preserve">clean school bus </w:t>
            </w:r>
            <w:r w:rsidR="007D468A">
              <w:t>program</w:t>
            </w:r>
            <w:r w:rsidR="00DE202C">
              <w:t xml:space="preserve"> to </w:t>
            </w:r>
            <w:r>
              <w:t>do the following:</w:t>
            </w:r>
          </w:p>
          <w:p w14:paraId="3B432E38" w14:textId="5B69877D" w:rsidR="00CA7F9D" w:rsidRPr="00A36EB1" w:rsidRDefault="0026412E" w:rsidP="009F3546">
            <w:pPr>
              <w:pStyle w:val="Header"/>
              <w:numPr>
                <w:ilvl w:val="0"/>
                <w:numId w:val="2"/>
              </w:numPr>
              <w:jc w:val="both"/>
            </w:pPr>
            <w:r w:rsidRPr="000C69DC">
              <w:t>limit the requirement for the bus to be of model year 2006 or earlier only to buses that are proposed to be replaced with a combustion engine bus; and</w:t>
            </w:r>
          </w:p>
          <w:p w14:paraId="5380FD16" w14:textId="77777777" w:rsidR="007319B6" w:rsidRPr="007650FB" w:rsidRDefault="0026412E" w:rsidP="009F3546">
            <w:pPr>
              <w:pStyle w:val="Header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t>make eligible for replacement a s</w:t>
            </w:r>
            <w:r>
              <w:t xml:space="preserve">chool bus </w:t>
            </w:r>
            <w:r w:rsidR="00DE202C">
              <w:t xml:space="preserve">of a model year that is at least six years older than the year in which the grant application is submitted or have an odometer </w:t>
            </w:r>
            <w:r w:rsidR="00943F93">
              <w:t>reading</w:t>
            </w:r>
            <w:r w:rsidR="00DE202C">
              <w:t xml:space="preserve"> at least 150,000 miles</w:t>
            </w:r>
            <w:r w:rsidR="000E3AA3">
              <w:t xml:space="preserve"> and that will be replaced with an electric bus</w:t>
            </w:r>
            <w:r w:rsidR="007D468A">
              <w:t xml:space="preserve">.  </w:t>
            </w:r>
            <w:r w:rsidR="00544EAB">
              <w:t xml:space="preserve"> </w:t>
            </w:r>
          </w:p>
          <w:p w14:paraId="3BADAD7D" w14:textId="2547EDF8" w:rsidR="007650FB" w:rsidRPr="00835628" w:rsidRDefault="007650FB" w:rsidP="009F3546">
            <w:pPr>
              <w:pStyle w:val="Header"/>
              <w:jc w:val="both"/>
              <w:rPr>
                <w:b/>
              </w:rPr>
            </w:pPr>
          </w:p>
        </w:tc>
      </w:tr>
      <w:tr w:rsidR="0080279D" w14:paraId="25C07440" w14:textId="77777777" w:rsidTr="00345119">
        <w:tc>
          <w:tcPr>
            <w:tcW w:w="9576" w:type="dxa"/>
          </w:tcPr>
          <w:p w14:paraId="4E8C6A5C" w14:textId="77777777" w:rsidR="008423E4" w:rsidRPr="00A8133F" w:rsidRDefault="0026412E" w:rsidP="009F354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BD921BC" w14:textId="77777777" w:rsidR="008423E4" w:rsidRDefault="008423E4" w:rsidP="009F3546"/>
          <w:p w14:paraId="53F03317" w14:textId="661055B6" w:rsidR="008423E4" w:rsidRPr="003624F2" w:rsidRDefault="0026412E" w:rsidP="009F35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0E4D4B1" w14:textId="77777777" w:rsidR="008423E4" w:rsidRPr="00233FDB" w:rsidRDefault="008423E4" w:rsidP="009F3546">
            <w:pPr>
              <w:rPr>
                <w:b/>
              </w:rPr>
            </w:pPr>
          </w:p>
        </w:tc>
      </w:tr>
      <w:tr w:rsidR="0080279D" w14:paraId="5FEEABE5" w14:textId="77777777" w:rsidTr="00345119">
        <w:tc>
          <w:tcPr>
            <w:tcW w:w="9576" w:type="dxa"/>
          </w:tcPr>
          <w:p w14:paraId="63388EF1" w14:textId="77777777" w:rsidR="005648D3" w:rsidRDefault="0026412E" w:rsidP="009F354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1BACDD0B" w14:textId="77777777" w:rsidR="00DE202C" w:rsidRDefault="00DE202C" w:rsidP="009F3546">
            <w:pPr>
              <w:jc w:val="both"/>
            </w:pPr>
          </w:p>
          <w:p w14:paraId="50F744E4" w14:textId="1E005D42" w:rsidR="00DE202C" w:rsidRDefault="0026412E" w:rsidP="009F3546">
            <w:pPr>
              <w:jc w:val="both"/>
            </w:pPr>
            <w:r>
              <w:t>While C.S.H.B. 4120 may differ from the original in minor or nonsubstantive ways, the following summarizes the substantial differences between the introduced and committee substitute versions of the bill.</w:t>
            </w:r>
          </w:p>
          <w:p w14:paraId="6B724C99" w14:textId="77777777" w:rsidR="00DE202C" w:rsidRDefault="00DE202C" w:rsidP="009F3546">
            <w:pPr>
              <w:jc w:val="both"/>
            </w:pPr>
          </w:p>
          <w:p w14:paraId="0F0681E0" w14:textId="62F7DDDB" w:rsidR="00DE202C" w:rsidRDefault="0026412E" w:rsidP="009F3546">
            <w:pPr>
              <w:jc w:val="both"/>
            </w:pPr>
            <w:r>
              <w:t xml:space="preserve">The substitute changes the requirements for a </w:t>
            </w:r>
            <w:r w:rsidR="00634C2C">
              <w:t xml:space="preserve">school </w:t>
            </w:r>
            <w:r w:rsidR="0093449E">
              <w:t xml:space="preserve">bus </w:t>
            </w:r>
            <w:r w:rsidR="00634C2C">
              <w:t>to qualify for</w:t>
            </w:r>
            <w:r w:rsidR="0093449E">
              <w:t xml:space="preserve"> replace</w:t>
            </w:r>
            <w:r w:rsidR="00634C2C">
              <w:t>ment</w:t>
            </w:r>
            <w:r w:rsidR="0093449E">
              <w:t xml:space="preserve"> with an electric bus under the </w:t>
            </w:r>
            <w:r w:rsidR="0093449E" w:rsidRPr="0093449E">
              <w:t>clean school bus program</w:t>
            </w:r>
            <w:r w:rsidR="0093449E">
              <w:t xml:space="preserve"> from being of a model that is </w:t>
            </w:r>
            <w:r w:rsidR="0093449E" w:rsidRPr="0093449E">
              <w:t>at least nine years older than the year in which the grant application is submitted</w:t>
            </w:r>
            <w:r w:rsidR="0093449E">
              <w:t xml:space="preserve"> </w:t>
            </w:r>
            <w:r w:rsidR="00943F93">
              <w:t xml:space="preserve">or having </w:t>
            </w:r>
            <w:r w:rsidR="00943F93" w:rsidRPr="00943F93">
              <w:t>an odometer reading at least 200,000 miles</w:t>
            </w:r>
            <w:r w:rsidR="00943F93">
              <w:t xml:space="preserve">, as in the original, to being of a model at least six years older than that year or having an odometer reading at least 150,000 miles. </w:t>
            </w:r>
          </w:p>
          <w:p w14:paraId="71427E85" w14:textId="6A6B60B4" w:rsidR="00943F93" w:rsidRDefault="00943F93" w:rsidP="009F3546">
            <w:pPr>
              <w:jc w:val="both"/>
            </w:pPr>
          </w:p>
          <w:p w14:paraId="3469D1F4" w14:textId="214C6E71" w:rsidR="00943F93" w:rsidRDefault="0026412E" w:rsidP="009F3546">
            <w:pPr>
              <w:jc w:val="both"/>
            </w:pPr>
            <w:r>
              <w:t xml:space="preserve">The substitute does not include </w:t>
            </w:r>
            <w:r w:rsidR="00634C2C">
              <w:t xml:space="preserve">the </w:t>
            </w:r>
            <w:r>
              <w:t xml:space="preserve">provision </w:t>
            </w:r>
            <w:r w:rsidR="00634C2C">
              <w:t xml:space="preserve">from </w:t>
            </w:r>
            <w:r>
              <w:t>the original requ</w:t>
            </w:r>
            <w:r>
              <w:t>ir</w:t>
            </w:r>
            <w:r w:rsidR="00634C2C">
              <w:t>ing</w:t>
            </w:r>
            <w:r>
              <w:t xml:space="preserve"> a regulatory authority to </w:t>
            </w:r>
            <w:r w:rsidRPr="00943F93">
              <w:t>provide a mechanism for approving a tariff in accordance with</w:t>
            </w:r>
            <w:r>
              <w:t xml:space="preserve"> </w:t>
            </w:r>
            <w:r w:rsidR="000A0A58">
              <w:t xml:space="preserve">requirements for time-of-use rates for public schools. </w:t>
            </w:r>
          </w:p>
          <w:p w14:paraId="3BCB844A" w14:textId="7A33B304" w:rsidR="000A0A58" w:rsidRDefault="000A0A58" w:rsidP="009F3546">
            <w:pPr>
              <w:jc w:val="both"/>
            </w:pPr>
          </w:p>
          <w:p w14:paraId="5288EFD5" w14:textId="5DE9F2A9" w:rsidR="005C06B1" w:rsidRDefault="0026412E" w:rsidP="009F3546">
            <w:pPr>
              <w:jc w:val="both"/>
            </w:pPr>
            <w:r>
              <w:t xml:space="preserve">The </w:t>
            </w:r>
            <w:r w:rsidR="00771565">
              <w:t xml:space="preserve">original </w:t>
            </w:r>
            <w:r>
              <w:t>authorized a district or charter school</w:t>
            </w:r>
            <w:r w:rsidR="00771565">
              <w:t xml:space="preserve"> to contract with an electric utility to </w:t>
            </w:r>
            <w:r w:rsidR="00771565" w:rsidRPr="00771565">
              <w:t>install make-ready infrastructure</w:t>
            </w:r>
            <w:r w:rsidR="00771565">
              <w:t xml:space="preserve"> required to </w:t>
            </w:r>
            <w:r w:rsidR="00771565" w:rsidRPr="00771565">
              <w:t>facilitate interconnection of the electric vehicle charging equipment</w:t>
            </w:r>
            <w:r w:rsidR="00771565">
              <w:t xml:space="preserve"> </w:t>
            </w:r>
            <w:r>
              <w:t xml:space="preserve">and provide any necessary construction to comply with local regulations related to the equipment. The substitute instead requires a district or charter </w:t>
            </w:r>
            <w:r>
              <w:t xml:space="preserve">school </w:t>
            </w:r>
            <w:r w:rsidRPr="005C06B1">
              <w:t xml:space="preserve">that installs electric vehicle charging equipment </w:t>
            </w:r>
            <w:r>
              <w:t>to</w:t>
            </w:r>
            <w:r w:rsidRPr="005C06B1">
              <w:t xml:space="preserve"> contract with </w:t>
            </w:r>
            <w:r w:rsidR="00E92B3F" w:rsidRPr="00E92B3F">
              <w:t>an electric cooperative</w:t>
            </w:r>
            <w:r w:rsidR="00E92B3F">
              <w:t xml:space="preserve">, </w:t>
            </w:r>
            <w:r w:rsidR="00E92B3F" w:rsidRPr="00E92B3F">
              <w:t>a</w:t>
            </w:r>
            <w:r>
              <w:t>n electric utility, a</w:t>
            </w:r>
            <w:r w:rsidR="00E92B3F" w:rsidRPr="00E92B3F">
              <w:t xml:space="preserve"> municipally owned utility, or a transmission and distribution utility</w:t>
            </w:r>
            <w:r>
              <w:t xml:space="preserve"> for those purposes</w:t>
            </w:r>
            <w:r w:rsidR="00E92B3F">
              <w:t xml:space="preserve">. </w:t>
            </w:r>
          </w:p>
          <w:p w14:paraId="39480A99" w14:textId="77777777" w:rsidR="005C06B1" w:rsidRDefault="005C06B1" w:rsidP="009F3546">
            <w:pPr>
              <w:jc w:val="both"/>
            </w:pPr>
          </w:p>
          <w:p w14:paraId="38A94469" w14:textId="1C11D45F" w:rsidR="00DB5943" w:rsidRDefault="0026412E" w:rsidP="009F3546">
            <w:pPr>
              <w:jc w:val="both"/>
            </w:pPr>
            <w:r>
              <w:t xml:space="preserve">The substitute </w:t>
            </w:r>
            <w:r w:rsidR="00AB7EC6">
              <w:t>requires the cooperative</w:t>
            </w:r>
            <w:r w:rsidR="006E5E0C">
              <w:t>s</w:t>
            </w:r>
            <w:r w:rsidR="00AB7EC6">
              <w:t xml:space="preserve"> or utilities to </w:t>
            </w:r>
            <w:r w:rsidR="00AB7EC6" w:rsidRPr="00AB7EC6">
              <w:t xml:space="preserve">provide information about distribution system capacity and needs to a district or charter school, or a person acting on </w:t>
            </w:r>
            <w:r w:rsidR="005C06B1">
              <w:t xml:space="preserve">the district's or charter school's </w:t>
            </w:r>
            <w:r w:rsidR="00AB7EC6" w:rsidRPr="00AB7EC6">
              <w:t>behalf, to facilitate interconnection of school energy sources</w:t>
            </w:r>
            <w:r w:rsidR="00AB7EC6">
              <w:t xml:space="preserve">, whereas the original required </w:t>
            </w:r>
            <w:r w:rsidR="001F263A">
              <w:t xml:space="preserve">electric utilities to provide that </w:t>
            </w:r>
            <w:r w:rsidR="00AB7EC6">
              <w:t xml:space="preserve">information to </w:t>
            </w:r>
            <w:r w:rsidR="00AB7EC6" w:rsidRPr="00AB7EC6">
              <w:t>market providers of on-site distributed renewable generation, energy storage, and electric school buses.</w:t>
            </w:r>
            <w:r w:rsidR="00AB3E81">
              <w:t xml:space="preserve"> </w:t>
            </w:r>
          </w:p>
          <w:p w14:paraId="04AA69A2" w14:textId="77777777" w:rsidR="00DB5943" w:rsidRDefault="00DB5943" w:rsidP="009F3546">
            <w:pPr>
              <w:jc w:val="both"/>
            </w:pPr>
          </w:p>
          <w:p w14:paraId="5634D4C7" w14:textId="5940531D" w:rsidR="00DE202C" w:rsidRDefault="0026412E" w:rsidP="009F3546">
            <w:pPr>
              <w:jc w:val="both"/>
            </w:pPr>
            <w:r>
              <w:t xml:space="preserve">The substitute </w:t>
            </w:r>
            <w:r w:rsidR="00DB5943">
              <w:t>omits the original's</w:t>
            </w:r>
            <w:r>
              <w:t xml:space="preserve"> provision exempting a district</w:t>
            </w:r>
            <w:r w:rsidR="00DB5943">
              <w:t xml:space="preserve"> or</w:t>
            </w:r>
            <w:r>
              <w:t xml:space="preserve"> charter school, or </w:t>
            </w:r>
            <w:r>
              <w:t xml:space="preserve">person acting on </w:t>
            </w:r>
            <w:r w:rsidR="00DB5943">
              <w:t xml:space="preserve">the district's or charter school's </w:t>
            </w:r>
            <w:r>
              <w:t>behalf</w:t>
            </w:r>
            <w:r w:rsidR="00DB5943">
              <w:t>,</w:t>
            </w:r>
            <w:r>
              <w:t xml:space="preserve"> </w:t>
            </w:r>
            <w:r w:rsidR="0061332A">
              <w:t xml:space="preserve">that provides distribution grid services </w:t>
            </w:r>
            <w:r w:rsidR="00DB5943" w:rsidRPr="00DB5943">
              <w:t xml:space="preserve">using a school energy source or a combination of school energy sources </w:t>
            </w:r>
            <w:r w:rsidR="0061332A">
              <w:t xml:space="preserve">from </w:t>
            </w:r>
            <w:r w:rsidR="00DB5943">
              <w:t xml:space="preserve">the need to </w:t>
            </w:r>
            <w:r w:rsidR="0061332A">
              <w:t>register as a power generation company</w:t>
            </w:r>
            <w:r w:rsidR="00DB5943">
              <w:t xml:space="preserve"> to do so.</w:t>
            </w:r>
            <w:r w:rsidR="0061332A">
              <w:t xml:space="preserve"> </w:t>
            </w:r>
            <w:r w:rsidR="00DB5943">
              <w:t xml:space="preserve">The </w:t>
            </w:r>
            <w:r w:rsidR="00C676C7">
              <w:t xml:space="preserve">substitute </w:t>
            </w:r>
            <w:r w:rsidR="0061332A">
              <w:t xml:space="preserve">includes a </w:t>
            </w:r>
            <w:r w:rsidR="00DB5943">
              <w:t xml:space="preserve">specification </w:t>
            </w:r>
            <w:r w:rsidR="0061332A">
              <w:t xml:space="preserve">not in the original that </w:t>
            </w:r>
            <w:r w:rsidR="00DB5943">
              <w:t>the</w:t>
            </w:r>
            <w:r w:rsidR="0061332A">
              <w:t xml:space="preserve"> </w:t>
            </w:r>
            <w:r w:rsidR="00DB5943">
              <w:t xml:space="preserve">distribution system grid </w:t>
            </w:r>
            <w:r w:rsidR="0061332A">
              <w:t xml:space="preserve">services </w:t>
            </w:r>
            <w:r w:rsidR="00DB5943">
              <w:t xml:space="preserve">that may be provided </w:t>
            </w:r>
            <w:r w:rsidR="0061332A">
              <w:t xml:space="preserve">include </w:t>
            </w:r>
            <w:r w:rsidR="0061332A" w:rsidRPr="0061332A">
              <w:t>local capacity relief, voltage and VAR support, and local frequency control</w:t>
            </w:r>
            <w:r w:rsidR="0061332A">
              <w:t xml:space="preserve">. </w:t>
            </w:r>
          </w:p>
          <w:p w14:paraId="0BD0AFA3" w14:textId="55A3BAB8" w:rsidR="00DE202C" w:rsidRPr="00DE202C" w:rsidRDefault="00DE202C" w:rsidP="009F3546">
            <w:pPr>
              <w:jc w:val="both"/>
            </w:pPr>
          </w:p>
        </w:tc>
      </w:tr>
      <w:tr w:rsidR="0080279D" w14:paraId="1C5D4B38" w14:textId="77777777" w:rsidTr="00345119">
        <w:tc>
          <w:tcPr>
            <w:tcW w:w="9576" w:type="dxa"/>
          </w:tcPr>
          <w:p w14:paraId="62456C6C" w14:textId="77777777" w:rsidR="005648D3" w:rsidRPr="009C1E9A" w:rsidRDefault="005648D3" w:rsidP="009F3546">
            <w:pPr>
              <w:rPr>
                <w:b/>
                <w:u w:val="single"/>
              </w:rPr>
            </w:pPr>
          </w:p>
        </w:tc>
      </w:tr>
      <w:tr w:rsidR="0080279D" w14:paraId="31C9BAD4" w14:textId="77777777" w:rsidTr="00345119">
        <w:tc>
          <w:tcPr>
            <w:tcW w:w="9576" w:type="dxa"/>
          </w:tcPr>
          <w:p w14:paraId="421B70F8" w14:textId="77777777" w:rsidR="005648D3" w:rsidRPr="005648D3" w:rsidRDefault="005648D3" w:rsidP="009F3546">
            <w:pPr>
              <w:jc w:val="both"/>
            </w:pPr>
          </w:p>
        </w:tc>
      </w:tr>
    </w:tbl>
    <w:p w14:paraId="23111D9A" w14:textId="77777777" w:rsidR="008423E4" w:rsidRPr="00BE0E75" w:rsidRDefault="008423E4" w:rsidP="009F3546">
      <w:pPr>
        <w:jc w:val="both"/>
        <w:rPr>
          <w:rFonts w:ascii="Arial" w:hAnsi="Arial"/>
          <w:sz w:val="16"/>
          <w:szCs w:val="16"/>
        </w:rPr>
      </w:pPr>
    </w:p>
    <w:p w14:paraId="62A95477" w14:textId="77777777" w:rsidR="004108C3" w:rsidRPr="008423E4" w:rsidRDefault="004108C3" w:rsidP="009F3546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91FAD" w14:textId="77777777" w:rsidR="00000000" w:rsidRDefault="0026412E">
      <w:r>
        <w:separator/>
      </w:r>
    </w:p>
  </w:endnote>
  <w:endnote w:type="continuationSeparator" w:id="0">
    <w:p w14:paraId="00515FEF" w14:textId="77777777" w:rsidR="00000000" w:rsidRDefault="0026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ED0FD" w14:textId="77777777" w:rsidR="007D4CE2" w:rsidRDefault="007D4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0279D" w14:paraId="7F4375B7" w14:textId="77777777" w:rsidTr="009C1E9A">
      <w:trPr>
        <w:cantSplit/>
      </w:trPr>
      <w:tc>
        <w:tcPr>
          <w:tcW w:w="0" w:type="pct"/>
        </w:tcPr>
        <w:p w14:paraId="3D79F54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AC3D44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5B36AB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F115D1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82D5C8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0279D" w14:paraId="05CD25AD" w14:textId="77777777" w:rsidTr="009C1E9A">
      <w:trPr>
        <w:cantSplit/>
      </w:trPr>
      <w:tc>
        <w:tcPr>
          <w:tcW w:w="0" w:type="pct"/>
        </w:tcPr>
        <w:p w14:paraId="5A07E33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BA3B66C" w14:textId="77777777" w:rsidR="00EC379B" w:rsidRPr="009C1E9A" w:rsidRDefault="0026412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23909</w:t>
          </w:r>
        </w:p>
      </w:tc>
      <w:tc>
        <w:tcPr>
          <w:tcW w:w="2453" w:type="pct"/>
        </w:tcPr>
        <w:p w14:paraId="529A5574" w14:textId="0731DE10" w:rsidR="00EC379B" w:rsidRDefault="002641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77D05">
            <w:t>21.124.1609</w:t>
          </w:r>
          <w:r>
            <w:fldChar w:fldCharType="end"/>
          </w:r>
        </w:p>
      </w:tc>
    </w:tr>
    <w:tr w:rsidR="0080279D" w14:paraId="19786E87" w14:textId="77777777" w:rsidTr="009C1E9A">
      <w:trPr>
        <w:cantSplit/>
      </w:trPr>
      <w:tc>
        <w:tcPr>
          <w:tcW w:w="0" w:type="pct"/>
        </w:tcPr>
        <w:p w14:paraId="2A2B0BD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0729844" w14:textId="77777777" w:rsidR="00EC379B" w:rsidRPr="009C1E9A" w:rsidRDefault="0026412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23596</w:t>
          </w:r>
        </w:p>
      </w:tc>
      <w:tc>
        <w:tcPr>
          <w:tcW w:w="2453" w:type="pct"/>
        </w:tcPr>
        <w:p w14:paraId="57483C0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9338B6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0279D" w14:paraId="26D8E6D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C34DEAD" w14:textId="2A8E4B20" w:rsidR="00EC379B" w:rsidRDefault="0026412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77D0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34F5E1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A1C2A6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51899" w14:textId="77777777" w:rsidR="007D4CE2" w:rsidRDefault="007D4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66785" w14:textId="77777777" w:rsidR="00000000" w:rsidRDefault="0026412E">
      <w:r>
        <w:separator/>
      </w:r>
    </w:p>
  </w:footnote>
  <w:footnote w:type="continuationSeparator" w:id="0">
    <w:p w14:paraId="40F05A09" w14:textId="77777777" w:rsidR="00000000" w:rsidRDefault="00264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72DAA" w14:textId="77777777" w:rsidR="007D4CE2" w:rsidRDefault="007D4C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77D6B" w14:textId="77777777" w:rsidR="007D4CE2" w:rsidRDefault="007D4C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0EAEA" w14:textId="77777777" w:rsidR="007D4CE2" w:rsidRDefault="007D4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A44F7"/>
    <w:multiLevelType w:val="hybridMultilevel"/>
    <w:tmpl w:val="FA145C8A"/>
    <w:lvl w:ilvl="0" w:tplc="21481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8006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4818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AC7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A22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184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824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D254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C21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23652"/>
    <w:multiLevelType w:val="hybridMultilevel"/>
    <w:tmpl w:val="43E2C61E"/>
    <w:lvl w:ilvl="0" w:tplc="5F3037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21B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D669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E92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D46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1075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6657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0E6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26D3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D3"/>
    <w:rsid w:val="00000A70"/>
    <w:rsid w:val="000032B8"/>
    <w:rsid w:val="00003B06"/>
    <w:rsid w:val="000054B9"/>
    <w:rsid w:val="00007461"/>
    <w:rsid w:val="0001117E"/>
    <w:rsid w:val="0001125F"/>
    <w:rsid w:val="000130C2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539C"/>
    <w:rsid w:val="00076D7D"/>
    <w:rsid w:val="00080D95"/>
    <w:rsid w:val="00090E6B"/>
    <w:rsid w:val="00091B2C"/>
    <w:rsid w:val="00092ABC"/>
    <w:rsid w:val="00097AAF"/>
    <w:rsid w:val="00097D13"/>
    <w:rsid w:val="000A0A58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3CD7"/>
    <w:rsid w:val="000C49DA"/>
    <w:rsid w:val="000C4B3D"/>
    <w:rsid w:val="000C69DC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3AA3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1E07"/>
    <w:rsid w:val="001E2CAD"/>
    <w:rsid w:val="001E34DB"/>
    <w:rsid w:val="001E37CD"/>
    <w:rsid w:val="001E4070"/>
    <w:rsid w:val="001E655E"/>
    <w:rsid w:val="001F263A"/>
    <w:rsid w:val="001F3CB8"/>
    <w:rsid w:val="001F6B91"/>
    <w:rsid w:val="001F703C"/>
    <w:rsid w:val="00200B9E"/>
    <w:rsid w:val="00200BF5"/>
    <w:rsid w:val="002010D1"/>
    <w:rsid w:val="00201338"/>
    <w:rsid w:val="0020775D"/>
    <w:rsid w:val="002077A2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412E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2A48"/>
    <w:rsid w:val="002D305A"/>
    <w:rsid w:val="002E21B8"/>
    <w:rsid w:val="002E7DF9"/>
    <w:rsid w:val="002F097B"/>
    <w:rsid w:val="002F3111"/>
    <w:rsid w:val="002F42FA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5E4"/>
    <w:rsid w:val="00321F2F"/>
    <w:rsid w:val="003237F6"/>
    <w:rsid w:val="00324077"/>
    <w:rsid w:val="0032453B"/>
    <w:rsid w:val="00324868"/>
    <w:rsid w:val="003250CF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B7B87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4EAB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48D3"/>
    <w:rsid w:val="005666D5"/>
    <w:rsid w:val="005669A7"/>
    <w:rsid w:val="00573401"/>
    <w:rsid w:val="00576714"/>
    <w:rsid w:val="0057685A"/>
    <w:rsid w:val="005847EF"/>
    <w:rsid w:val="005851E6"/>
    <w:rsid w:val="005878B7"/>
    <w:rsid w:val="0059246D"/>
    <w:rsid w:val="00592C9A"/>
    <w:rsid w:val="00593DF8"/>
    <w:rsid w:val="00595745"/>
    <w:rsid w:val="00597B97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06B1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332A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4C2C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676"/>
    <w:rsid w:val="006E1CFB"/>
    <w:rsid w:val="006E1F94"/>
    <w:rsid w:val="006E26C1"/>
    <w:rsid w:val="006E30A8"/>
    <w:rsid w:val="006E45B0"/>
    <w:rsid w:val="006E5692"/>
    <w:rsid w:val="006E5E0C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9B6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6AF"/>
    <w:rsid w:val="00764786"/>
    <w:rsid w:val="007650FB"/>
    <w:rsid w:val="00766E12"/>
    <w:rsid w:val="0077098E"/>
    <w:rsid w:val="00771287"/>
    <w:rsid w:val="0077149E"/>
    <w:rsid w:val="00771565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68A"/>
    <w:rsid w:val="007D47E1"/>
    <w:rsid w:val="007D4CE2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279D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B6A"/>
    <w:rsid w:val="00925CE1"/>
    <w:rsid w:val="00925F5C"/>
    <w:rsid w:val="00930897"/>
    <w:rsid w:val="009320D2"/>
    <w:rsid w:val="00932C77"/>
    <w:rsid w:val="0093417F"/>
    <w:rsid w:val="0093449E"/>
    <w:rsid w:val="00934AC2"/>
    <w:rsid w:val="009375BB"/>
    <w:rsid w:val="009418E9"/>
    <w:rsid w:val="00943F93"/>
    <w:rsid w:val="00946044"/>
    <w:rsid w:val="009465AB"/>
    <w:rsid w:val="00946DEE"/>
    <w:rsid w:val="00953499"/>
    <w:rsid w:val="00954A16"/>
    <w:rsid w:val="009550E0"/>
    <w:rsid w:val="0095696D"/>
    <w:rsid w:val="009611F9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25C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71"/>
    <w:rsid w:val="009D37C7"/>
    <w:rsid w:val="009D4BBD"/>
    <w:rsid w:val="009D5A41"/>
    <w:rsid w:val="009E13BF"/>
    <w:rsid w:val="009E3631"/>
    <w:rsid w:val="009E3EB9"/>
    <w:rsid w:val="009E69C2"/>
    <w:rsid w:val="009E70AF"/>
    <w:rsid w:val="009E717E"/>
    <w:rsid w:val="009E7AEB"/>
    <w:rsid w:val="009F1B37"/>
    <w:rsid w:val="009F3546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36EB1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7D05"/>
    <w:rsid w:val="00A803CF"/>
    <w:rsid w:val="00A8133F"/>
    <w:rsid w:val="00A82CB4"/>
    <w:rsid w:val="00A837A8"/>
    <w:rsid w:val="00A83C36"/>
    <w:rsid w:val="00A932BB"/>
    <w:rsid w:val="00A93579"/>
    <w:rsid w:val="00A93934"/>
    <w:rsid w:val="00A94CD6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3E81"/>
    <w:rsid w:val="00AB474B"/>
    <w:rsid w:val="00AB5CCC"/>
    <w:rsid w:val="00AB74E2"/>
    <w:rsid w:val="00AB7EC6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3ED2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266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76C7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A7F9D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055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4A34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43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11D1"/>
    <w:rsid w:val="00DE202C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2B3F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31B7"/>
    <w:rsid w:val="00F96602"/>
    <w:rsid w:val="00F9735A"/>
    <w:rsid w:val="00FA1D89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1DD4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56B229-9D39-40A0-95E3-A22C1D78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25B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5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5B6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5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5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1371</Words>
  <Characters>7610</Characters>
  <Application>Microsoft Office Word</Application>
  <DocSecurity>4</DocSecurity>
  <Lines>144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HB04120 (Committee Report (Substituted))</vt:lpstr>
    </vt:vector>
  </TitlesOfParts>
  <Company>State of Texas</Company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23909</dc:subject>
  <dc:creator>State of Texas</dc:creator>
  <dc:description>HB 4120 by Deshotel-(H)State Affairs (Substitute Document Number: 87R 23596)</dc:description>
  <cp:lastModifiedBy>Lauren Bustamante</cp:lastModifiedBy>
  <cp:revision>2</cp:revision>
  <cp:lastPrinted>2003-11-26T17:21:00Z</cp:lastPrinted>
  <dcterms:created xsi:type="dcterms:W3CDTF">2021-05-06T00:25:00Z</dcterms:created>
  <dcterms:modified xsi:type="dcterms:W3CDTF">2021-05-06T00:25:00Z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21.124.1609</vt:lpwstr>
  </property>
</Properties>
</file>