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824478" w14:paraId="01BC2332" w14:textId="77777777" w:rsidTr="00345119">
        <w:tc>
          <w:tcPr>
            <w:tcW w:w="9576" w:type="dxa"/>
            <w:noWrap/>
          </w:tcPr>
          <w:p w14:paraId="7524040B" w14:textId="77777777" w:rsidR="008423E4" w:rsidRPr="0022177D" w:rsidRDefault="009C41E9" w:rsidP="00650594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99ED8C2" w14:textId="77777777" w:rsidR="008423E4" w:rsidRPr="0022177D" w:rsidRDefault="008423E4" w:rsidP="00650594">
      <w:pPr>
        <w:jc w:val="center"/>
      </w:pPr>
    </w:p>
    <w:p w14:paraId="4DEE48AB" w14:textId="77777777" w:rsidR="008423E4" w:rsidRPr="00B31F0E" w:rsidRDefault="008423E4" w:rsidP="00650594"/>
    <w:p w14:paraId="4966AFD2" w14:textId="77777777" w:rsidR="008423E4" w:rsidRPr="00742794" w:rsidRDefault="008423E4" w:rsidP="0065059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24478" w14:paraId="1268DACC" w14:textId="77777777" w:rsidTr="00345119">
        <w:tc>
          <w:tcPr>
            <w:tcW w:w="9576" w:type="dxa"/>
          </w:tcPr>
          <w:p w14:paraId="0373F41E" w14:textId="15A4CA8D" w:rsidR="008423E4" w:rsidRPr="00861995" w:rsidRDefault="009C41E9" w:rsidP="00650594">
            <w:pPr>
              <w:jc w:val="right"/>
            </w:pPr>
            <w:r>
              <w:t>C.S.H.B. 4166</w:t>
            </w:r>
          </w:p>
        </w:tc>
      </w:tr>
      <w:tr w:rsidR="00824478" w14:paraId="6C4425CC" w14:textId="77777777" w:rsidTr="00345119">
        <w:tc>
          <w:tcPr>
            <w:tcW w:w="9576" w:type="dxa"/>
          </w:tcPr>
          <w:p w14:paraId="5B9E8AEA" w14:textId="5F0CF9E6" w:rsidR="008423E4" w:rsidRPr="00861995" w:rsidRDefault="009C41E9" w:rsidP="00650594">
            <w:pPr>
              <w:jc w:val="right"/>
            </w:pPr>
            <w:r>
              <w:t xml:space="preserve">By: </w:t>
            </w:r>
            <w:r w:rsidR="0038218D">
              <w:t>Wu</w:t>
            </w:r>
          </w:p>
        </w:tc>
      </w:tr>
      <w:tr w:rsidR="00824478" w14:paraId="593D95EB" w14:textId="77777777" w:rsidTr="00345119">
        <w:tc>
          <w:tcPr>
            <w:tcW w:w="9576" w:type="dxa"/>
          </w:tcPr>
          <w:p w14:paraId="0D6AE771" w14:textId="6377C6CA" w:rsidR="008423E4" w:rsidRPr="00861995" w:rsidRDefault="009C41E9" w:rsidP="00650594">
            <w:pPr>
              <w:jc w:val="right"/>
            </w:pPr>
            <w:r>
              <w:t>Judiciary &amp; Civil Jurisprudence</w:t>
            </w:r>
          </w:p>
        </w:tc>
      </w:tr>
      <w:tr w:rsidR="00824478" w14:paraId="522CAAA0" w14:textId="77777777" w:rsidTr="00345119">
        <w:tc>
          <w:tcPr>
            <w:tcW w:w="9576" w:type="dxa"/>
          </w:tcPr>
          <w:p w14:paraId="2AAD373B" w14:textId="2A4BB1E2" w:rsidR="008423E4" w:rsidRDefault="009C41E9" w:rsidP="00650594">
            <w:pPr>
              <w:jc w:val="right"/>
            </w:pPr>
            <w:r>
              <w:t>Committee Report (Substituted)</w:t>
            </w:r>
          </w:p>
        </w:tc>
      </w:tr>
    </w:tbl>
    <w:p w14:paraId="169A8DF3" w14:textId="77777777" w:rsidR="008423E4" w:rsidRDefault="008423E4" w:rsidP="00650594">
      <w:pPr>
        <w:tabs>
          <w:tab w:val="right" w:pos="9360"/>
        </w:tabs>
      </w:pPr>
    </w:p>
    <w:p w14:paraId="4244643E" w14:textId="77777777" w:rsidR="008423E4" w:rsidRDefault="008423E4" w:rsidP="00650594"/>
    <w:p w14:paraId="54C66481" w14:textId="77777777" w:rsidR="008423E4" w:rsidRDefault="008423E4" w:rsidP="0065059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824478" w14:paraId="13D86CE6" w14:textId="77777777" w:rsidTr="00345119">
        <w:tc>
          <w:tcPr>
            <w:tcW w:w="9576" w:type="dxa"/>
          </w:tcPr>
          <w:p w14:paraId="5A0A9BBA" w14:textId="77777777" w:rsidR="008423E4" w:rsidRPr="00A8133F" w:rsidRDefault="009C41E9" w:rsidP="0065059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40519DE" w14:textId="77777777" w:rsidR="008423E4" w:rsidRPr="00650594" w:rsidRDefault="008423E4" w:rsidP="00650594">
            <w:pPr>
              <w:rPr>
                <w:sz w:val="22"/>
                <w:szCs w:val="22"/>
              </w:rPr>
            </w:pPr>
          </w:p>
          <w:p w14:paraId="32BE37AF" w14:textId="53DAC5A7" w:rsidR="008423E4" w:rsidRDefault="009C41E9" w:rsidP="0065059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 2018, the Texas Supreme Court case </w:t>
            </w:r>
            <w:r w:rsidRPr="008637DC">
              <w:rPr>
                <w:i/>
              </w:rPr>
              <w:t>Youngkin v. Hines</w:t>
            </w:r>
            <w:r>
              <w:t xml:space="preserve"> held </w:t>
            </w:r>
            <w:r w:rsidR="00AF4A23">
              <w:t xml:space="preserve">that </w:t>
            </w:r>
            <w:r w:rsidR="00301E03">
              <w:t>the Citizens Participation Act</w:t>
            </w:r>
            <w:r w:rsidR="00BF3040">
              <w:t xml:space="preserve">, which provides for expedited dismissal procedures intended to protect the exercise of </w:t>
            </w:r>
            <w:r>
              <w:t xml:space="preserve"> </w:t>
            </w:r>
            <w:r w:rsidR="00BF3040">
              <w:t xml:space="preserve">constitutional rights of free speech, freedom to petition, and </w:t>
            </w:r>
            <w:r w:rsidR="00677AD4">
              <w:t xml:space="preserve">the right of association, </w:t>
            </w:r>
            <w:r>
              <w:t xml:space="preserve">protects an </w:t>
            </w:r>
            <w:r w:rsidR="0000482B">
              <w:t xml:space="preserve">attorney's </w:t>
            </w:r>
            <w:r>
              <w:t xml:space="preserve">statements </w:t>
            </w:r>
            <w:r w:rsidR="00677AD4">
              <w:t xml:space="preserve">in court </w:t>
            </w:r>
            <w:r>
              <w:t xml:space="preserve">on behalf of </w:t>
            </w:r>
            <w:r w:rsidR="00677AD4">
              <w:t>the</w:t>
            </w:r>
            <w:r w:rsidR="001043E1">
              <w:t xml:space="preserve"> </w:t>
            </w:r>
            <w:r>
              <w:t>client during a ju</w:t>
            </w:r>
            <w:r>
              <w:t xml:space="preserve">dicial proceeding. This interpretation </w:t>
            </w:r>
            <w:r w:rsidR="00DC7C18">
              <w:t xml:space="preserve">can mean </w:t>
            </w:r>
            <w:r>
              <w:t xml:space="preserve">that if a lawyer commits malpractice, </w:t>
            </w:r>
            <w:r w:rsidR="00B15AF8">
              <w:t xml:space="preserve">the </w:t>
            </w:r>
            <w:r>
              <w:t xml:space="preserve">clients cannot sue </w:t>
            </w:r>
            <w:r w:rsidR="00B15AF8">
              <w:t xml:space="preserve">the lawyer </w:t>
            </w:r>
            <w:r>
              <w:t xml:space="preserve">for relief because the law protects the lawyer's right to petition. </w:t>
            </w:r>
            <w:r w:rsidR="00DC7C18">
              <w:t>Concerns have been raised regarding the continued use of t</w:t>
            </w:r>
            <w:r>
              <w:t>his interp</w:t>
            </w:r>
            <w:r>
              <w:t>retation in court cases when</w:t>
            </w:r>
            <w:r w:rsidR="00DC7C18">
              <w:t>,</w:t>
            </w:r>
            <w:r>
              <w:t xml:space="preserve"> in reality, the</w:t>
            </w:r>
            <w:r w:rsidR="00AF4A23">
              <w:t>se</w:t>
            </w:r>
            <w:r>
              <w:t xml:space="preserve"> attorneys were never intended to be protected under </w:t>
            </w:r>
            <w:r w:rsidR="00301E03">
              <w:t>the act</w:t>
            </w:r>
            <w:r>
              <w:t xml:space="preserve">. </w:t>
            </w:r>
            <w:r w:rsidR="00301E03">
              <w:t>C.S.</w:t>
            </w:r>
            <w:r>
              <w:t>H</w:t>
            </w:r>
            <w:r w:rsidR="00301E03">
              <w:t>.</w:t>
            </w:r>
            <w:r>
              <w:t>B</w:t>
            </w:r>
            <w:r w:rsidR="00301E03">
              <w:t>.</w:t>
            </w:r>
            <w:r w:rsidR="00AF4A23">
              <w:t> </w:t>
            </w:r>
            <w:r>
              <w:t xml:space="preserve">4166 seeks to ensure that </w:t>
            </w:r>
            <w:r w:rsidR="00AF4A23">
              <w:t>the Citizens Participation Act</w:t>
            </w:r>
            <w:r w:rsidR="00677AD4">
              <w:t xml:space="preserve"> does not apply in legal malpractice claims</w:t>
            </w:r>
            <w:r w:rsidR="00AF4A23">
              <w:t>.</w:t>
            </w:r>
            <w:r>
              <w:t xml:space="preserve"> </w:t>
            </w:r>
          </w:p>
          <w:p w14:paraId="466B0CD7" w14:textId="77777777" w:rsidR="008423E4" w:rsidRPr="00E26B13" w:rsidRDefault="008423E4" w:rsidP="00650594">
            <w:pPr>
              <w:rPr>
                <w:b/>
              </w:rPr>
            </w:pPr>
          </w:p>
        </w:tc>
      </w:tr>
      <w:tr w:rsidR="00824478" w14:paraId="52A5171D" w14:textId="77777777" w:rsidTr="00345119">
        <w:tc>
          <w:tcPr>
            <w:tcW w:w="9576" w:type="dxa"/>
          </w:tcPr>
          <w:p w14:paraId="70D67065" w14:textId="77777777" w:rsidR="0017725B" w:rsidRDefault="009C41E9" w:rsidP="0065059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DA2BF69" w14:textId="77777777" w:rsidR="0017725B" w:rsidRPr="00650594" w:rsidRDefault="0017725B" w:rsidP="00650594">
            <w:pPr>
              <w:rPr>
                <w:b/>
                <w:sz w:val="22"/>
                <w:szCs w:val="22"/>
                <w:u w:val="single"/>
              </w:rPr>
            </w:pPr>
          </w:p>
          <w:p w14:paraId="17960E91" w14:textId="77777777" w:rsidR="0071653B" w:rsidRPr="0071653B" w:rsidRDefault="009C41E9" w:rsidP="00650594">
            <w:pPr>
              <w:jc w:val="both"/>
            </w:pPr>
            <w:r>
              <w:t>It is the</w:t>
            </w:r>
            <w:r>
              <w:t xml:space="preserve"> committee's opinion that this bill does not expressly create a criminal offense, increase the punishment for an existing criminal offense or category of offenses, or change the eligibility of a person for community supervision, parole, or mandatory superv</w:t>
            </w:r>
            <w:r>
              <w:t>ision.</w:t>
            </w:r>
          </w:p>
          <w:p w14:paraId="72B9880C" w14:textId="77777777" w:rsidR="0017725B" w:rsidRPr="00650594" w:rsidRDefault="0017725B" w:rsidP="00650594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824478" w14:paraId="650F36B1" w14:textId="77777777" w:rsidTr="00345119">
        <w:tc>
          <w:tcPr>
            <w:tcW w:w="9576" w:type="dxa"/>
          </w:tcPr>
          <w:p w14:paraId="22749CF6" w14:textId="77777777" w:rsidR="008423E4" w:rsidRPr="00A8133F" w:rsidRDefault="009C41E9" w:rsidP="0065059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EB652A5" w14:textId="77777777" w:rsidR="008423E4" w:rsidRPr="00650594" w:rsidRDefault="008423E4" w:rsidP="00650594">
            <w:pPr>
              <w:rPr>
                <w:sz w:val="22"/>
                <w:szCs w:val="22"/>
              </w:rPr>
            </w:pPr>
          </w:p>
          <w:p w14:paraId="638D7681" w14:textId="77777777" w:rsidR="0071653B" w:rsidRDefault="009C41E9" w:rsidP="0065059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450828BA" w14:textId="77777777" w:rsidR="008423E4" w:rsidRPr="00E21FDC" w:rsidRDefault="008423E4" w:rsidP="00650594">
            <w:pPr>
              <w:rPr>
                <w:b/>
              </w:rPr>
            </w:pPr>
          </w:p>
        </w:tc>
      </w:tr>
      <w:tr w:rsidR="00824478" w14:paraId="4DC33F97" w14:textId="77777777" w:rsidTr="00345119">
        <w:tc>
          <w:tcPr>
            <w:tcW w:w="9576" w:type="dxa"/>
          </w:tcPr>
          <w:p w14:paraId="13B21D50" w14:textId="77777777" w:rsidR="008423E4" w:rsidRPr="00A8133F" w:rsidRDefault="009C41E9" w:rsidP="0065059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31B46F4" w14:textId="77777777" w:rsidR="008423E4" w:rsidRPr="00650594" w:rsidRDefault="008423E4" w:rsidP="00650594">
            <w:pPr>
              <w:rPr>
                <w:sz w:val="22"/>
                <w:szCs w:val="22"/>
              </w:rPr>
            </w:pPr>
          </w:p>
          <w:p w14:paraId="22D37C37" w14:textId="3FBE75A3" w:rsidR="004C2EBE" w:rsidRDefault="009C41E9" w:rsidP="0065059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71653B">
              <w:t xml:space="preserve">H.B. 4166 amends the Civil Practice and Remedies Code to </w:t>
            </w:r>
            <w:r w:rsidR="002C5A03">
              <w:t xml:space="preserve">establish that provisions </w:t>
            </w:r>
            <w:r w:rsidR="001B6E64" w:rsidRPr="001B6E64">
              <w:t xml:space="preserve">relating to expedited </w:t>
            </w:r>
            <w:r w:rsidR="002C5A03">
              <w:t xml:space="preserve">dismissal </w:t>
            </w:r>
            <w:r w:rsidR="001B6E64" w:rsidRPr="001B6E64">
              <w:t xml:space="preserve">procedures </w:t>
            </w:r>
            <w:r w:rsidR="001B6E64">
              <w:t>for</w:t>
            </w:r>
            <w:r w:rsidR="002C5A03">
              <w:t xml:space="preserve"> </w:t>
            </w:r>
            <w:r w:rsidR="00DF4509">
              <w:t xml:space="preserve">civil </w:t>
            </w:r>
            <w:r w:rsidR="002C5A03">
              <w:t xml:space="preserve">actions involving certain constitutional rights do not apply to </w:t>
            </w:r>
            <w:r w:rsidR="002F38AA">
              <w:t>a legal action based on a common law legal malpractice claim</w:t>
            </w:r>
            <w:r w:rsidR="002C5A03">
              <w:t>.</w:t>
            </w:r>
            <w:r w:rsidR="002F38AA">
              <w:t xml:space="preserve"> </w:t>
            </w:r>
          </w:p>
          <w:p w14:paraId="4AE1A6A7" w14:textId="77777777" w:rsidR="008423E4" w:rsidRPr="00650594" w:rsidRDefault="008423E4" w:rsidP="0065059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824478" w14:paraId="4AA51206" w14:textId="77777777" w:rsidTr="00345119">
        <w:tc>
          <w:tcPr>
            <w:tcW w:w="9576" w:type="dxa"/>
          </w:tcPr>
          <w:p w14:paraId="566B6569" w14:textId="77777777" w:rsidR="008423E4" w:rsidRPr="00A8133F" w:rsidRDefault="009C41E9" w:rsidP="0065059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11E5A03" w14:textId="77777777" w:rsidR="008423E4" w:rsidRPr="00650594" w:rsidRDefault="008423E4" w:rsidP="00650594">
            <w:pPr>
              <w:rPr>
                <w:sz w:val="22"/>
                <w:szCs w:val="22"/>
              </w:rPr>
            </w:pPr>
          </w:p>
          <w:p w14:paraId="3470225F" w14:textId="77777777" w:rsidR="008423E4" w:rsidRPr="003624F2" w:rsidRDefault="009C41E9" w:rsidP="0065059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4CE364F6" w14:textId="77777777" w:rsidR="008423E4" w:rsidRPr="00650594" w:rsidRDefault="008423E4" w:rsidP="00650594">
            <w:pPr>
              <w:rPr>
                <w:b/>
                <w:sz w:val="22"/>
                <w:szCs w:val="22"/>
              </w:rPr>
            </w:pPr>
          </w:p>
        </w:tc>
      </w:tr>
      <w:tr w:rsidR="00824478" w14:paraId="1594249E" w14:textId="77777777" w:rsidTr="00345119">
        <w:tc>
          <w:tcPr>
            <w:tcW w:w="9576" w:type="dxa"/>
          </w:tcPr>
          <w:p w14:paraId="2DD2841C" w14:textId="77777777" w:rsidR="0038218D" w:rsidRDefault="009C41E9" w:rsidP="0065059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7C895E98" w14:textId="77777777" w:rsidR="00B626C9" w:rsidRPr="00650594" w:rsidRDefault="00B626C9" w:rsidP="00650594">
            <w:pPr>
              <w:jc w:val="both"/>
              <w:rPr>
                <w:sz w:val="22"/>
                <w:szCs w:val="22"/>
              </w:rPr>
            </w:pPr>
          </w:p>
          <w:p w14:paraId="4FE225C7" w14:textId="490D6162" w:rsidR="00B179DE" w:rsidRDefault="009C41E9" w:rsidP="00650594">
            <w:pPr>
              <w:jc w:val="both"/>
            </w:pPr>
            <w:r>
              <w:t xml:space="preserve">While C.S.H.B. 4166 may differ from the original in minor or nonsubstantive ways, the following summarizes the substantial differences between the introduced and </w:t>
            </w:r>
            <w:r>
              <w:t>committee substitute versions of the bill.</w:t>
            </w:r>
          </w:p>
          <w:p w14:paraId="215DCFCF" w14:textId="30F5798F" w:rsidR="00B179DE" w:rsidRPr="00650594" w:rsidRDefault="00B179DE" w:rsidP="00650594">
            <w:pPr>
              <w:jc w:val="both"/>
              <w:rPr>
                <w:sz w:val="22"/>
                <w:szCs w:val="22"/>
              </w:rPr>
            </w:pPr>
          </w:p>
          <w:p w14:paraId="54451F31" w14:textId="29C5E936" w:rsidR="00B179DE" w:rsidRDefault="009C41E9" w:rsidP="00650594">
            <w:pPr>
              <w:jc w:val="both"/>
            </w:pPr>
            <w:r>
              <w:t xml:space="preserve">The substitute </w:t>
            </w:r>
            <w:r w:rsidR="00AF4A23">
              <w:t xml:space="preserve">does not include a provision that appeared in the original </w:t>
            </w:r>
            <w:r w:rsidR="0074567E">
              <w:t xml:space="preserve">establishing </w:t>
            </w:r>
            <w:r w:rsidR="002C5A03">
              <w:t>that</w:t>
            </w:r>
            <w:r w:rsidR="00C26697">
              <w:t xml:space="preserve">, for purposes of the applicable </w:t>
            </w:r>
            <w:r w:rsidR="004A3963">
              <w:t>law governing a certain class of civil actions,</w:t>
            </w:r>
            <w:r w:rsidR="00C26697">
              <w:t xml:space="preserve"> </w:t>
            </w:r>
            <w:r w:rsidR="002C5A03">
              <w:t>a person hired by a party to assist in a</w:t>
            </w:r>
            <w:r w:rsidR="00B15AF8">
              <w:t>ny</w:t>
            </w:r>
            <w:r w:rsidR="002C5A03">
              <w:t xml:space="preserve"> legal action is not considered to exercise certain constitutional rights in bringing or defending that action</w:t>
            </w:r>
            <w:r w:rsidR="0074567E">
              <w:t>. The substitute</w:t>
            </w:r>
            <w:r w:rsidR="00AF4A23">
              <w:t xml:space="preserve"> </w:t>
            </w:r>
            <w:r w:rsidR="00C26697">
              <w:t xml:space="preserve">includes </w:t>
            </w:r>
            <w:r w:rsidR="004A3963">
              <w:t xml:space="preserve">instead </w:t>
            </w:r>
            <w:r w:rsidR="00C26697">
              <w:t>a provision not found in the original which excludes</w:t>
            </w:r>
            <w:r w:rsidR="0074567E">
              <w:t xml:space="preserve"> </w:t>
            </w:r>
            <w:r w:rsidR="00AB2E82">
              <w:t>a</w:t>
            </w:r>
            <w:r w:rsidR="004A3963">
              <w:t>n</w:t>
            </w:r>
            <w:r w:rsidR="00AB2E82">
              <w:t xml:space="preserve"> action based on a legal malpractice claim from the application of </w:t>
            </w:r>
            <w:r w:rsidR="004A3963">
              <w:t>that law</w:t>
            </w:r>
            <w:r w:rsidR="00C26697">
              <w:t>.</w:t>
            </w:r>
            <w:r w:rsidR="00B626C9">
              <w:t xml:space="preserve"> The substitute also amends the caption. </w:t>
            </w:r>
          </w:p>
          <w:p w14:paraId="20025C1A" w14:textId="0D722835" w:rsidR="00B179DE" w:rsidRPr="00650594" w:rsidRDefault="00B179DE" w:rsidP="00650594">
            <w:pPr>
              <w:jc w:val="both"/>
              <w:rPr>
                <w:sz w:val="2"/>
                <w:szCs w:val="2"/>
              </w:rPr>
            </w:pPr>
          </w:p>
        </w:tc>
      </w:tr>
      <w:tr w:rsidR="00824478" w14:paraId="720FD6F6" w14:textId="77777777" w:rsidTr="00345119">
        <w:tc>
          <w:tcPr>
            <w:tcW w:w="9576" w:type="dxa"/>
          </w:tcPr>
          <w:p w14:paraId="09328473" w14:textId="77777777" w:rsidR="0038218D" w:rsidRPr="00650594" w:rsidRDefault="0038218D" w:rsidP="00650594">
            <w:pPr>
              <w:rPr>
                <w:b/>
                <w:sz w:val="2"/>
                <w:szCs w:val="2"/>
                <w:u w:val="single"/>
              </w:rPr>
            </w:pPr>
          </w:p>
        </w:tc>
      </w:tr>
      <w:tr w:rsidR="00824478" w14:paraId="5E68EFAA" w14:textId="77777777" w:rsidTr="00345119">
        <w:tc>
          <w:tcPr>
            <w:tcW w:w="9576" w:type="dxa"/>
          </w:tcPr>
          <w:p w14:paraId="334AFA16" w14:textId="77777777" w:rsidR="0038218D" w:rsidRPr="0038218D" w:rsidRDefault="0038218D" w:rsidP="00650594">
            <w:pPr>
              <w:jc w:val="both"/>
            </w:pPr>
          </w:p>
        </w:tc>
      </w:tr>
    </w:tbl>
    <w:p w14:paraId="39B15628" w14:textId="77777777" w:rsidR="008423E4" w:rsidRPr="00650594" w:rsidRDefault="008423E4" w:rsidP="00650594">
      <w:pPr>
        <w:jc w:val="both"/>
        <w:rPr>
          <w:rFonts w:ascii="Arial" w:hAnsi="Arial"/>
          <w:sz w:val="2"/>
          <w:szCs w:val="2"/>
        </w:rPr>
      </w:pPr>
    </w:p>
    <w:p w14:paraId="63431E89" w14:textId="77777777" w:rsidR="004108C3" w:rsidRPr="00650594" w:rsidRDefault="004108C3" w:rsidP="00650594">
      <w:pPr>
        <w:rPr>
          <w:sz w:val="2"/>
          <w:szCs w:val="2"/>
        </w:rPr>
      </w:pPr>
    </w:p>
    <w:sectPr w:rsidR="004108C3" w:rsidRPr="0065059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FFEA5" w14:textId="77777777" w:rsidR="00000000" w:rsidRDefault="009C41E9">
      <w:r>
        <w:separator/>
      </w:r>
    </w:p>
  </w:endnote>
  <w:endnote w:type="continuationSeparator" w:id="0">
    <w:p w14:paraId="380E4A47" w14:textId="77777777" w:rsidR="00000000" w:rsidRDefault="009C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10CF9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24478" w14:paraId="5826218E" w14:textId="77777777" w:rsidTr="009C1E9A">
      <w:trPr>
        <w:cantSplit/>
      </w:trPr>
      <w:tc>
        <w:tcPr>
          <w:tcW w:w="0" w:type="pct"/>
        </w:tcPr>
        <w:p w14:paraId="6FB0745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F6C80F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09CE065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D5959E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7DB039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24478" w14:paraId="2A2E237E" w14:textId="77777777" w:rsidTr="009C1E9A">
      <w:trPr>
        <w:cantSplit/>
      </w:trPr>
      <w:tc>
        <w:tcPr>
          <w:tcW w:w="0" w:type="pct"/>
        </w:tcPr>
        <w:p w14:paraId="49E2330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5CC89B5" w14:textId="462FB76D" w:rsidR="00EC379B" w:rsidRPr="009C1E9A" w:rsidRDefault="009C41E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22158</w:t>
          </w:r>
        </w:p>
      </w:tc>
      <w:tc>
        <w:tcPr>
          <w:tcW w:w="2453" w:type="pct"/>
        </w:tcPr>
        <w:p w14:paraId="12CBA964" w14:textId="196C00E9" w:rsidR="00EC379B" w:rsidRDefault="009C41E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226EB">
            <w:t>21.115.745</w:t>
          </w:r>
          <w:r>
            <w:fldChar w:fldCharType="end"/>
          </w:r>
        </w:p>
      </w:tc>
    </w:tr>
    <w:tr w:rsidR="00824478" w14:paraId="219BB974" w14:textId="77777777" w:rsidTr="009C1E9A">
      <w:trPr>
        <w:cantSplit/>
      </w:trPr>
      <w:tc>
        <w:tcPr>
          <w:tcW w:w="0" w:type="pct"/>
        </w:tcPr>
        <w:p w14:paraId="47145B29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2FA0B2F" w14:textId="39D5AEF2" w:rsidR="00EC379B" w:rsidRPr="009C1E9A" w:rsidRDefault="009C41E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20481</w:t>
          </w:r>
        </w:p>
      </w:tc>
      <w:tc>
        <w:tcPr>
          <w:tcW w:w="2453" w:type="pct"/>
        </w:tcPr>
        <w:p w14:paraId="7D8BFB5D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E37113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24478" w14:paraId="1CE45499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E266E94" w14:textId="3C10C481" w:rsidR="00EC379B" w:rsidRDefault="009C41E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650594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36D22F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E8E41C0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2392A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9095A" w14:textId="77777777" w:rsidR="00000000" w:rsidRDefault="009C41E9">
      <w:r>
        <w:separator/>
      </w:r>
    </w:p>
  </w:footnote>
  <w:footnote w:type="continuationSeparator" w:id="0">
    <w:p w14:paraId="23A65FEA" w14:textId="77777777" w:rsidR="00000000" w:rsidRDefault="009C4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4A5E0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3DE1B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524DA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49"/>
    <w:rsid w:val="00000A70"/>
    <w:rsid w:val="000032B8"/>
    <w:rsid w:val="00003B06"/>
    <w:rsid w:val="0000482B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43E1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6E64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C5A03"/>
    <w:rsid w:val="002D05CC"/>
    <w:rsid w:val="002D305A"/>
    <w:rsid w:val="002E21B8"/>
    <w:rsid w:val="002E7DF9"/>
    <w:rsid w:val="002F097B"/>
    <w:rsid w:val="002F3111"/>
    <w:rsid w:val="002F38AA"/>
    <w:rsid w:val="002F4AEC"/>
    <w:rsid w:val="002F795D"/>
    <w:rsid w:val="00300823"/>
    <w:rsid w:val="00300D7F"/>
    <w:rsid w:val="00301638"/>
    <w:rsid w:val="00301E03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218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86C5C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3963"/>
    <w:rsid w:val="004B0001"/>
    <w:rsid w:val="004B138F"/>
    <w:rsid w:val="004B412A"/>
    <w:rsid w:val="004B576C"/>
    <w:rsid w:val="004B772A"/>
    <w:rsid w:val="004C2EBE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763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38C3"/>
    <w:rsid w:val="00524A3A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3F1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594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77AD4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8D4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653B"/>
    <w:rsid w:val="00717739"/>
    <w:rsid w:val="00717DE4"/>
    <w:rsid w:val="00721724"/>
    <w:rsid w:val="007226EB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4567E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4478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37DC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2B1F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1773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1E9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2E82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4A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5AF8"/>
    <w:rsid w:val="00B1668D"/>
    <w:rsid w:val="00B17981"/>
    <w:rsid w:val="00B179DE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26C9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3040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325E"/>
    <w:rsid w:val="00C14EE6"/>
    <w:rsid w:val="00C151DA"/>
    <w:rsid w:val="00C152A1"/>
    <w:rsid w:val="00C16CCB"/>
    <w:rsid w:val="00C2142B"/>
    <w:rsid w:val="00C22987"/>
    <w:rsid w:val="00C23956"/>
    <w:rsid w:val="00C248E6"/>
    <w:rsid w:val="00C26697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C7C18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509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8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4249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02E12D-3A1E-4A06-92AE-A02084D2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B00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B00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B000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00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0001"/>
    <w:rPr>
      <w:b/>
      <w:bCs/>
    </w:rPr>
  </w:style>
  <w:style w:type="character" w:styleId="Hyperlink">
    <w:name w:val="Hyperlink"/>
    <w:basedOn w:val="DefaultParagraphFont"/>
    <w:unhideWhenUsed/>
    <w:rsid w:val="00AF4A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677A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2128</Characters>
  <Application>Microsoft Office Word</Application>
  <DocSecurity>4</DocSecurity>
  <Lines>60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HB04166 (Committee Report (Substituted))</vt:lpstr>
    </vt:vector>
  </TitlesOfParts>
  <Company>State of Texas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22158</dc:subject>
  <dc:creator>State of Texas</dc:creator>
  <dc:description>HB 4166 by Wu-(H)Judiciary &amp; Civil Jurisprudence (Substitute Document Number: 87R 20481)</dc:description>
  <cp:lastModifiedBy>Stacey Nicchio</cp:lastModifiedBy>
  <cp:revision>2</cp:revision>
  <cp:lastPrinted>2003-11-26T17:21:00Z</cp:lastPrinted>
  <dcterms:created xsi:type="dcterms:W3CDTF">2021-04-27T18:03:00Z</dcterms:created>
  <dcterms:modified xsi:type="dcterms:W3CDTF">2021-04-27T18:03:00Z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21.115.745</vt:lpwstr>
  </property>
</Properties>
</file>