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E252F" w14:paraId="3193B6B1" w14:textId="77777777" w:rsidTr="00345119">
        <w:tc>
          <w:tcPr>
            <w:tcW w:w="9576" w:type="dxa"/>
            <w:noWrap/>
          </w:tcPr>
          <w:p w14:paraId="19F044FF" w14:textId="77777777" w:rsidR="008423E4" w:rsidRPr="0022177D" w:rsidRDefault="00895F1C" w:rsidP="00C610C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AD465CB" w14:textId="77777777" w:rsidR="008423E4" w:rsidRPr="0022177D" w:rsidRDefault="008423E4" w:rsidP="00C610CB">
      <w:pPr>
        <w:jc w:val="center"/>
      </w:pPr>
    </w:p>
    <w:p w14:paraId="1151C6C9" w14:textId="77777777" w:rsidR="008423E4" w:rsidRPr="00B31F0E" w:rsidRDefault="008423E4" w:rsidP="00C610CB"/>
    <w:p w14:paraId="0943BCAD" w14:textId="77777777" w:rsidR="008423E4" w:rsidRPr="00742794" w:rsidRDefault="008423E4" w:rsidP="00C610C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252F" w14:paraId="42DE5B2A" w14:textId="77777777" w:rsidTr="00345119">
        <w:tc>
          <w:tcPr>
            <w:tcW w:w="9576" w:type="dxa"/>
          </w:tcPr>
          <w:p w14:paraId="06AA0068" w14:textId="19A98073" w:rsidR="008423E4" w:rsidRPr="00861995" w:rsidRDefault="00895F1C" w:rsidP="00C610CB">
            <w:pPr>
              <w:jc w:val="right"/>
            </w:pPr>
            <w:r>
              <w:t>C.S.H.B. 4218</w:t>
            </w:r>
          </w:p>
        </w:tc>
      </w:tr>
      <w:tr w:rsidR="00EE252F" w14:paraId="586CA790" w14:textId="77777777" w:rsidTr="00345119">
        <w:tc>
          <w:tcPr>
            <w:tcW w:w="9576" w:type="dxa"/>
          </w:tcPr>
          <w:p w14:paraId="675C3BBD" w14:textId="5D1B0477" w:rsidR="008423E4" w:rsidRPr="00861995" w:rsidRDefault="00895F1C" w:rsidP="00C610CB">
            <w:pPr>
              <w:jc w:val="right"/>
            </w:pPr>
            <w:r>
              <w:t xml:space="preserve">By: </w:t>
            </w:r>
            <w:r w:rsidR="00D56BD5">
              <w:t>Craddick</w:t>
            </w:r>
          </w:p>
        </w:tc>
      </w:tr>
      <w:tr w:rsidR="00EE252F" w14:paraId="50B0BCC5" w14:textId="77777777" w:rsidTr="00345119">
        <w:tc>
          <w:tcPr>
            <w:tcW w:w="9576" w:type="dxa"/>
          </w:tcPr>
          <w:p w14:paraId="5B651A59" w14:textId="7289D231" w:rsidR="008423E4" w:rsidRPr="00861995" w:rsidRDefault="00895F1C" w:rsidP="00C610CB">
            <w:pPr>
              <w:jc w:val="right"/>
            </w:pPr>
            <w:r>
              <w:t>Judiciary &amp; Civil Jurisprudence</w:t>
            </w:r>
          </w:p>
        </w:tc>
      </w:tr>
      <w:tr w:rsidR="00EE252F" w14:paraId="5EB7349B" w14:textId="77777777" w:rsidTr="00345119">
        <w:tc>
          <w:tcPr>
            <w:tcW w:w="9576" w:type="dxa"/>
          </w:tcPr>
          <w:p w14:paraId="2746B5BF" w14:textId="2317D2A1" w:rsidR="008423E4" w:rsidRDefault="00895F1C" w:rsidP="00C610CB">
            <w:pPr>
              <w:jc w:val="right"/>
            </w:pPr>
            <w:r>
              <w:t>Committee Report (Substituted)</w:t>
            </w:r>
          </w:p>
        </w:tc>
      </w:tr>
    </w:tbl>
    <w:p w14:paraId="3569FE71" w14:textId="77777777" w:rsidR="008423E4" w:rsidRDefault="008423E4" w:rsidP="00C610CB">
      <w:pPr>
        <w:tabs>
          <w:tab w:val="right" w:pos="9360"/>
        </w:tabs>
      </w:pPr>
    </w:p>
    <w:p w14:paraId="3E53109D" w14:textId="77777777" w:rsidR="008423E4" w:rsidRDefault="008423E4" w:rsidP="00C610CB"/>
    <w:p w14:paraId="13B12F87" w14:textId="77777777" w:rsidR="008423E4" w:rsidRDefault="008423E4" w:rsidP="00C610C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E252F" w14:paraId="395A0010" w14:textId="77777777" w:rsidTr="00345119">
        <w:tc>
          <w:tcPr>
            <w:tcW w:w="9576" w:type="dxa"/>
          </w:tcPr>
          <w:p w14:paraId="0F791561" w14:textId="77777777" w:rsidR="008423E4" w:rsidRPr="00A8133F" w:rsidRDefault="00895F1C" w:rsidP="00C610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335DAB8" w14:textId="77777777" w:rsidR="008423E4" w:rsidRDefault="008423E4" w:rsidP="00C610CB"/>
          <w:p w14:paraId="34148C54" w14:textId="3A8EFC35" w:rsidR="008423E4" w:rsidRDefault="00895F1C" w:rsidP="00C610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</w:t>
            </w:r>
            <w:r w:rsidR="0090113F">
              <w:t>an ongoing issue</w:t>
            </w:r>
            <w:r>
              <w:t xml:space="preserve"> in which</w:t>
            </w:r>
            <w:r w:rsidR="00142D96" w:rsidRPr="00142D96">
              <w:t xml:space="preserve"> oil and gas entities releas</w:t>
            </w:r>
            <w:r>
              <w:t>e</w:t>
            </w:r>
            <w:r w:rsidR="00142D96" w:rsidRPr="00142D96">
              <w:t xml:space="preserve"> overriding royalty interests in oil and gas leases </w:t>
            </w:r>
            <w:r w:rsidR="00CB405C">
              <w:t>only to</w:t>
            </w:r>
            <w:r w:rsidR="00CB405C" w:rsidRPr="00142D96">
              <w:t xml:space="preserve"> </w:t>
            </w:r>
            <w:r w:rsidR="00142D96" w:rsidRPr="00142D96">
              <w:t xml:space="preserve">later </w:t>
            </w:r>
            <w:r w:rsidR="00CB405C" w:rsidRPr="00142D96">
              <w:t>reacquir</w:t>
            </w:r>
            <w:r w:rsidR="00CB405C">
              <w:t>e</w:t>
            </w:r>
            <w:r w:rsidR="00CB405C" w:rsidRPr="00142D96">
              <w:t xml:space="preserve"> </w:t>
            </w:r>
            <w:r w:rsidR="00142D96" w:rsidRPr="00142D96">
              <w:t>the same lease without the overriding interest.</w:t>
            </w:r>
            <w:r w:rsidR="00142D96">
              <w:t xml:space="preserve"> </w:t>
            </w:r>
            <w:r>
              <w:t>It has been suggested that because t</w:t>
            </w:r>
            <w:r w:rsidR="00142D96" w:rsidRPr="00142D96">
              <w:t xml:space="preserve">here is currently no </w:t>
            </w:r>
            <w:r w:rsidR="00B745DB">
              <w:t xml:space="preserve">mechanism through which a </w:t>
            </w:r>
            <w:r w:rsidR="00142D96" w:rsidRPr="00142D96">
              <w:t xml:space="preserve">cause of action </w:t>
            </w:r>
            <w:r w:rsidR="00B745DB">
              <w:t xml:space="preserve">may be brought for </w:t>
            </w:r>
            <w:r w:rsidR="00EC6DBF">
              <w:t>this</w:t>
            </w:r>
            <w:r w:rsidR="00B745DB">
              <w:t xml:space="preserve"> </w:t>
            </w:r>
            <w:r w:rsidR="00B745DB" w:rsidRPr="00B745DB">
              <w:t xml:space="preserve">bad faith washout of </w:t>
            </w:r>
            <w:r w:rsidR="00B745DB">
              <w:t>a</w:t>
            </w:r>
            <w:r w:rsidR="00B745DB" w:rsidRPr="00B745DB">
              <w:t xml:space="preserve"> person's overriding royalty interest in an oil and gas lease</w:t>
            </w:r>
            <w:r>
              <w:t xml:space="preserve">, these practices will </w:t>
            </w:r>
            <w:r w:rsidR="00B745DB">
              <w:t xml:space="preserve">only </w:t>
            </w:r>
            <w:r>
              <w:t>continue to occur</w:t>
            </w:r>
            <w:r w:rsidR="00142D96" w:rsidRPr="00142D96">
              <w:t>.</w:t>
            </w:r>
            <w:r w:rsidR="00142D96">
              <w:t xml:space="preserve"> C.S.</w:t>
            </w:r>
            <w:r w:rsidR="00142D96" w:rsidRPr="00142D96">
              <w:t>H</w:t>
            </w:r>
            <w:r w:rsidR="00142D96">
              <w:t>.</w:t>
            </w:r>
            <w:r w:rsidR="00142D96" w:rsidRPr="00142D96">
              <w:t>B</w:t>
            </w:r>
            <w:r w:rsidR="00142D96">
              <w:t>.</w:t>
            </w:r>
            <w:r w:rsidR="00142D96" w:rsidRPr="00142D96">
              <w:t xml:space="preserve"> 4218 seeks to address </w:t>
            </w:r>
            <w:r>
              <w:t>this issue by providing for a cause of action for a</w:t>
            </w:r>
            <w:r w:rsidR="00142D96" w:rsidRPr="00142D96">
              <w:t xml:space="preserve"> bad faith washout of overriding royalty interests.  </w:t>
            </w:r>
          </w:p>
          <w:p w14:paraId="135830EF" w14:textId="77777777" w:rsidR="008423E4" w:rsidRPr="00E26B13" w:rsidRDefault="008423E4" w:rsidP="00C610CB">
            <w:pPr>
              <w:rPr>
                <w:b/>
              </w:rPr>
            </w:pPr>
          </w:p>
        </w:tc>
      </w:tr>
      <w:tr w:rsidR="00EE252F" w14:paraId="0518B49B" w14:textId="77777777" w:rsidTr="00345119">
        <w:tc>
          <w:tcPr>
            <w:tcW w:w="9576" w:type="dxa"/>
          </w:tcPr>
          <w:p w14:paraId="4CC14B57" w14:textId="77777777" w:rsidR="0017725B" w:rsidRDefault="00895F1C" w:rsidP="00C610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E74272B" w14:textId="77777777" w:rsidR="0017725B" w:rsidRDefault="0017725B" w:rsidP="00C610CB">
            <w:pPr>
              <w:rPr>
                <w:b/>
                <w:u w:val="single"/>
              </w:rPr>
            </w:pPr>
          </w:p>
          <w:p w14:paraId="390F58F0" w14:textId="77777777" w:rsidR="001E0516" w:rsidRPr="001E0516" w:rsidRDefault="00895F1C" w:rsidP="00C610C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1CD3D17F" w14:textId="77777777" w:rsidR="0017725B" w:rsidRPr="0017725B" w:rsidRDefault="0017725B" w:rsidP="00C610CB">
            <w:pPr>
              <w:rPr>
                <w:b/>
                <w:u w:val="single"/>
              </w:rPr>
            </w:pPr>
          </w:p>
        </w:tc>
      </w:tr>
      <w:tr w:rsidR="00EE252F" w14:paraId="68A32B61" w14:textId="77777777" w:rsidTr="00345119">
        <w:tc>
          <w:tcPr>
            <w:tcW w:w="9576" w:type="dxa"/>
          </w:tcPr>
          <w:p w14:paraId="1FD54C04" w14:textId="77777777" w:rsidR="008423E4" w:rsidRPr="00A8133F" w:rsidRDefault="00895F1C" w:rsidP="00C610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4D207A6" w14:textId="77777777" w:rsidR="008423E4" w:rsidRDefault="008423E4" w:rsidP="00C610CB"/>
          <w:p w14:paraId="187C4F1D" w14:textId="77777777" w:rsidR="001E0516" w:rsidRDefault="00895F1C" w:rsidP="00C610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3F3BCE9" w14:textId="77777777" w:rsidR="008423E4" w:rsidRPr="00E21FDC" w:rsidRDefault="008423E4" w:rsidP="00C610CB">
            <w:pPr>
              <w:rPr>
                <w:b/>
              </w:rPr>
            </w:pPr>
          </w:p>
        </w:tc>
      </w:tr>
      <w:tr w:rsidR="00EE252F" w14:paraId="2CCA95BE" w14:textId="77777777" w:rsidTr="00345119">
        <w:tc>
          <w:tcPr>
            <w:tcW w:w="9576" w:type="dxa"/>
          </w:tcPr>
          <w:p w14:paraId="56C42871" w14:textId="77777777" w:rsidR="008423E4" w:rsidRPr="00A8133F" w:rsidRDefault="00895F1C" w:rsidP="00C610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E5048B9" w14:textId="77777777" w:rsidR="008423E4" w:rsidRDefault="008423E4" w:rsidP="00C610CB"/>
          <w:p w14:paraId="2902BA99" w14:textId="70CF7F10" w:rsidR="009C36CD" w:rsidRDefault="00895F1C" w:rsidP="00C610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26A9C">
              <w:t>H.B. 4218 amends the Property Code to authorize a</w:t>
            </w:r>
            <w:r w:rsidR="00626A9C" w:rsidRPr="00626A9C">
              <w:t xml:space="preserve"> person </w:t>
            </w:r>
            <w:r w:rsidR="00626A9C">
              <w:t>to</w:t>
            </w:r>
            <w:r w:rsidR="00626A9C" w:rsidRPr="00626A9C">
              <w:t xml:space="preserve"> bring a cause of action for a bad faith washout of the person's overriding royalty i</w:t>
            </w:r>
            <w:r w:rsidR="00626A9C">
              <w:t xml:space="preserve">nterest in an oil and gas lease </w:t>
            </w:r>
            <w:r w:rsidR="00626A9C" w:rsidRPr="00626A9C">
              <w:t xml:space="preserve">in a district court of a county in which any part of the property subject to </w:t>
            </w:r>
            <w:r w:rsidR="00626A9C">
              <w:t>the lease is located</w:t>
            </w:r>
            <w:r w:rsidR="00CB405C">
              <w:t>. The bill</w:t>
            </w:r>
            <w:r w:rsidR="00626A9C">
              <w:t xml:space="preserve"> entitles the person </w:t>
            </w:r>
            <w:r w:rsidR="00626A9C" w:rsidRPr="00626A9C">
              <w:t xml:space="preserve">to a remedy </w:t>
            </w:r>
            <w:r w:rsidR="00626A9C">
              <w:t xml:space="preserve">from </w:t>
            </w:r>
            <w:r w:rsidR="00637762">
              <w:t>that</w:t>
            </w:r>
            <w:r w:rsidR="00626A9C">
              <w:t xml:space="preserve"> action</w:t>
            </w:r>
            <w:r w:rsidR="00626A9C" w:rsidRPr="00626A9C">
              <w:t xml:space="preserve"> if the person proves by a preponderance of the evidence </w:t>
            </w:r>
            <w:r w:rsidR="00C37C68">
              <w:t>the following</w:t>
            </w:r>
            <w:r w:rsidR="00626A9C" w:rsidRPr="00626A9C">
              <w:t>:</w:t>
            </w:r>
          </w:p>
          <w:p w14:paraId="68BD4DCE" w14:textId="09239724" w:rsidR="00626A9C" w:rsidRDefault="00895F1C" w:rsidP="00C610C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that the person owned or had a legal right to the overriding royalty interest;</w:t>
            </w:r>
          </w:p>
          <w:p w14:paraId="415EC9F4" w14:textId="0B1D3567" w:rsidR="00626A9C" w:rsidRDefault="00895F1C" w:rsidP="00C610C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that the defendant had control ove</w:t>
            </w:r>
            <w:r>
              <w:t>r the oil and gas lease burdened by the overriding royalty interest;</w:t>
            </w:r>
          </w:p>
          <w:p w14:paraId="6C76619E" w14:textId="08DB475E" w:rsidR="00626A9C" w:rsidRDefault="00895F1C" w:rsidP="00C610C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that the defendant caused a washout of the person's overriding royalty interest; and</w:t>
            </w:r>
          </w:p>
          <w:p w14:paraId="148BCB49" w14:textId="1C142DD5" w:rsidR="00626A9C" w:rsidRDefault="00895F1C" w:rsidP="00C610C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that the defendant acted in bad faith by knowingly or intentionally causing the washout.</w:t>
            </w:r>
          </w:p>
          <w:p w14:paraId="38BB11F5" w14:textId="179BD48E" w:rsidR="00CB405C" w:rsidRDefault="00895F1C" w:rsidP="00C610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defi</w:t>
            </w:r>
            <w:r>
              <w:t>nes "bad faith" and "washout."</w:t>
            </w:r>
          </w:p>
          <w:p w14:paraId="5035FE50" w14:textId="77777777" w:rsidR="00CB405C" w:rsidRDefault="00CB405C" w:rsidP="00C610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2025DC0" w14:textId="6F9860E5" w:rsidR="00637762" w:rsidRPr="009C36CD" w:rsidRDefault="00895F1C" w:rsidP="00C610CB">
            <w:pPr>
              <w:pStyle w:val="Header"/>
              <w:jc w:val="both"/>
            </w:pPr>
            <w:r>
              <w:t>C.S.H.B. 4218</w:t>
            </w:r>
            <w:r w:rsidR="001E0516">
              <w:t xml:space="preserve"> requires the </w:t>
            </w:r>
            <w:r w:rsidR="00C37C68">
              <w:t xml:space="preserve">person </w:t>
            </w:r>
            <w:r w:rsidR="001E0516">
              <w:t xml:space="preserve">to bring the action </w:t>
            </w:r>
            <w:r w:rsidR="001E0516" w:rsidRPr="001E0516">
              <w:t xml:space="preserve">not later than the second anniversary of the date </w:t>
            </w:r>
            <w:r w:rsidR="00142D96" w:rsidRPr="00142D96">
              <w:t xml:space="preserve">the person obtained actual knowledge that </w:t>
            </w:r>
            <w:r w:rsidR="001E0516" w:rsidRPr="001E0516">
              <w:t>t</w:t>
            </w:r>
            <w:r w:rsidR="001E0516">
              <w:t xml:space="preserve">he washout occurred. The bill </w:t>
            </w:r>
            <w:r>
              <w:t>authorizes an owner who prevails in the</w:t>
            </w:r>
            <w:r>
              <w:t xml:space="preserve"> action to recover </w:t>
            </w:r>
            <w:r w:rsidR="00C37C68">
              <w:t xml:space="preserve">actual </w:t>
            </w:r>
            <w:r>
              <w:t xml:space="preserve">damages, </w:t>
            </w:r>
            <w:r w:rsidR="00C37C68">
              <w:t xml:space="preserve">court </w:t>
            </w:r>
            <w:r>
              <w:t xml:space="preserve">costs and </w:t>
            </w:r>
            <w:r w:rsidR="00C37C68">
              <w:t xml:space="preserve">attorney's </w:t>
            </w:r>
            <w:r>
              <w:t>fees</w:t>
            </w:r>
            <w:r w:rsidR="00C37C68">
              <w:t>,</w:t>
            </w:r>
            <w:r>
              <w:t xml:space="preserve"> and the enforcement of a constructive trust on the oil and gas lease or mineral estate acquired to accomplish the washout of the overriding royalty interest.</w:t>
            </w:r>
            <w:r w:rsidR="001E0516">
              <w:t xml:space="preserve"> </w:t>
            </w:r>
            <w:r w:rsidR="00EC6DBF">
              <w:t xml:space="preserve">These </w:t>
            </w:r>
            <w:r w:rsidR="001E0516">
              <w:t xml:space="preserve">remedies </w:t>
            </w:r>
            <w:r w:rsidR="001E0516" w:rsidRPr="001E0516">
              <w:t>are cumulative of other remedies provided by common law or statute.</w:t>
            </w:r>
          </w:p>
          <w:p w14:paraId="3FD36B5D" w14:textId="77777777" w:rsidR="008423E4" w:rsidRPr="00835628" w:rsidRDefault="008423E4" w:rsidP="00C610CB">
            <w:pPr>
              <w:rPr>
                <w:b/>
              </w:rPr>
            </w:pPr>
          </w:p>
        </w:tc>
      </w:tr>
      <w:tr w:rsidR="00EE252F" w14:paraId="0F2C2A11" w14:textId="77777777" w:rsidTr="00345119">
        <w:tc>
          <w:tcPr>
            <w:tcW w:w="9576" w:type="dxa"/>
          </w:tcPr>
          <w:p w14:paraId="72DF7462" w14:textId="77777777" w:rsidR="008423E4" w:rsidRPr="00A8133F" w:rsidRDefault="00895F1C" w:rsidP="00C610C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180D60E" w14:textId="77777777" w:rsidR="008423E4" w:rsidRDefault="008423E4" w:rsidP="00C610CB"/>
          <w:p w14:paraId="46A093B4" w14:textId="77777777" w:rsidR="008423E4" w:rsidRPr="003624F2" w:rsidRDefault="00895F1C" w:rsidP="00C610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94F3836" w14:textId="77777777" w:rsidR="008423E4" w:rsidRPr="00233FDB" w:rsidRDefault="008423E4" w:rsidP="00C610CB">
            <w:pPr>
              <w:rPr>
                <w:b/>
              </w:rPr>
            </w:pPr>
          </w:p>
        </w:tc>
      </w:tr>
      <w:tr w:rsidR="00EE252F" w14:paraId="02B74A64" w14:textId="77777777" w:rsidTr="00345119">
        <w:tc>
          <w:tcPr>
            <w:tcW w:w="9576" w:type="dxa"/>
          </w:tcPr>
          <w:p w14:paraId="1FF0F0A8" w14:textId="77777777" w:rsidR="00D56BD5" w:rsidRDefault="00895F1C" w:rsidP="00C610C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F45AADC" w14:textId="77777777" w:rsidR="00B744C2" w:rsidRDefault="00B744C2" w:rsidP="00C610CB">
            <w:pPr>
              <w:jc w:val="both"/>
            </w:pPr>
          </w:p>
          <w:p w14:paraId="279C8D73" w14:textId="12958B8B" w:rsidR="00B744C2" w:rsidRDefault="00895F1C" w:rsidP="00C610CB">
            <w:pPr>
              <w:jc w:val="both"/>
            </w:pPr>
            <w:r>
              <w:t xml:space="preserve">While C.S.H.B. 4218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14:paraId="0E17094C" w14:textId="20F2C0BA" w:rsidR="00B744C2" w:rsidRDefault="00B744C2" w:rsidP="00C610CB">
            <w:pPr>
              <w:jc w:val="both"/>
            </w:pPr>
          </w:p>
          <w:p w14:paraId="1BD864A8" w14:textId="3A333B73" w:rsidR="00B744C2" w:rsidRDefault="00895F1C" w:rsidP="00C610CB">
            <w:pPr>
              <w:jc w:val="both"/>
            </w:pPr>
            <w:r>
              <w:t xml:space="preserve">The substitute </w:t>
            </w:r>
            <w:r w:rsidR="00EC6DBF">
              <w:t>changes the date by which a person must</w:t>
            </w:r>
            <w:r w:rsidR="008725BA">
              <w:t xml:space="preserve"> </w:t>
            </w:r>
            <w:r>
              <w:t xml:space="preserve">bring an action under the bill's provisions </w:t>
            </w:r>
            <w:r w:rsidR="00EC6DBF">
              <w:t>from</w:t>
            </w:r>
            <w:r w:rsidR="00EC6DBF" w:rsidRPr="00B744C2">
              <w:t xml:space="preserve"> </w:t>
            </w:r>
            <w:r w:rsidRPr="00B744C2">
              <w:t>not later than the second anniversary of the date the</w:t>
            </w:r>
            <w:r w:rsidR="00EC6DBF">
              <w:t xml:space="preserve"> washout occurred to not later than the second anniversary of the date the</w:t>
            </w:r>
            <w:r w:rsidRPr="00B744C2">
              <w:t xml:space="preserve"> person obtained actual knowledge that the washout occurred.</w:t>
            </w:r>
          </w:p>
          <w:p w14:paraId="4E248F86" w14:textId="57B20D4C" w:rsidR="008725BA" w:rsidRDefault="008725BA" w:rsidP="00C610CB">
            <w:pPr>
              <w:jc w:val="both"/>
            </w:pPr>
          </w:p>
          <w:p w14:paraId="601FA039" w14:textId="30BA2099" w:rsidR="008725BA" w:rsidRDefault="00895F1C" w:rsidP="00C610CB">
            <w:pPr>
              <w:jc w:val="both"/>
            </w:pPr>
            <w:r>
              <w:t>The substitute does</w:t>
            </w:r>
            <w:r w:rsidR="00320D6F">
              <w:t xml:space="preserve"> not</w:t>
            </w:r>
            <w:r>
              <w:t xml:space="preserve"> include </w:t>
            </w:r>
            <w:r w:rsidR="00EC6DBF">
              <w:t xml:space="preserve">exemplary </w:t>
            </w:r>
            <w:r w:rsidR="006B2402">
              <w:t>damages</w:t>
            </w:r>
            <w:r w:rsidR="00EC6DBF">
              <w:t xml:space="preserve"> as</w:t>
            </w:r>
            <w:r w:rsidR="006B2402">
              <w:t xml:space="preserve"> a type of remedy that </w:t>
            </w:r>
            <w:r>
              <w:t xml:space="preserve">a party </w:t>
            </w:r>
            <w:r w:rsidR="006B2402">
              <w:t xml:space="preserve">who prevails </w:t>
            </w:r>
            <w:r>
              <w:t xml:space="preserve">in </w:t>
            </w:r>
            <w:r w:rsidR="006B2402">
              <w:t>such an</w:t>
            </w:r>
            <w:r>
              <w:t xml:space="preserve"> action </w:t>
            </w:r>
            <w:r w:rsidR="006B2402">
              <w:t>may</w:t>
            </w:r>
            <w:r>
              <w:t xml:space="preserve"> recover. The subst</w:t>
            </w:r>
            <w:r>
              <w:t xml:space="preserve">itute includes a definition </w:t>
            </w:r>
            <w:r w:rsidR="006B2402">
              <w:t>for</w:t>
            </w:r>
            <w:r>
              <w:t xml:space="preserve"> "bad faith."</w:t>
            </w:r>
          </w:p>
          <w:p w14:paraId="55283648" w14:textId="103EACC3" w:rsidR="00B744C2" w:rsidRPr="00B744C2" w:rsidRDefault="00B744C2" w:rsidP="00C610CB">
            <w:pPr>
              <w:jc w:val="both"/>
            </w:pPr>
          </w:p>
        </w:tc>
      </w:tr>
      <w:tr w:rsidR="00EE252F" w14:paraId="409435FE" w14:textId="77777777" w:rsidTr="00345119">
        <w:tc>
          <w:tcPr>
            <w:tcW w:w="9576" w:type="dxa"/>
          </w:tcPr>
          <w:p w14:paraId="206AE9B3" w14:textId="77777777" w:rsidR="00D56BD5" w:rsidRPr="009C1E9A" w:rsidRDefault="00D56BD5" w:rsidP="00C610CB">
            <w:pPr>
              <w:rPr>
                <w:b/>
                <w:u w:val="single"/>
              </w:rPr>
            </w:pPr>
          </w:p>
        </w:tc>
      </w:tr>
      <w:tr w:rsidR="00EE252F" w14:paraId="0045186B" w14:textId="77777777" w:rsidTr="00345119">
        <w:tc>
          <w:tcPr>
            <w:tcW w:w="9576" w:type="dxa"/>
          </w:tcPr>
          <w:p w14:paraId="7A61429A" w14:textId="77777777" w:rsidR="00D56BD5" w:rsidRPr="00D56BD5" w:rsidRDefault="00D56BD5" w:rsidP="00C610CB">
            <w:pPr>
              <w:jc w:val="both"/>
            </w:pPr>
          </w:p>
        </w:tc>
      </w:tr>
    </w:tbl>
    <w:p w14:paraId="2C56755D" w14:textId="77777777" w:rsidR="008423E4" w:rsidRPr="00BE0E75" w:rsidRDefault="008423E4" w:rsidP="00C610CB">
      <w:pPr>
        <w:jc w:val="both"/>
        <w:rPr>
          <w:rFonts w:ascii="Arial" w:hAnsi="Arial"/>
          <w:sz w:val="16"/>
          <w:szCs w:val="16"/>
        </w:rPr>
      </w:pPr>
    </w:p>
    <w:p w14:paraId="0BE14A8E" w14:textId="77777777" w:rsidR="004108C3" w:rsidRPr="008423E4" w:rsidRDefault="004108C3" w:rsidP="00C610C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F6E8A" w14:textId="77777777" w:rsidR="00000000" w:rsidRDefault="00895F1C">
      <w:r>
        <w:separator/>
      </w:r>
    </w:p>
  </w:endnote>
  <w:endnote w:type="continuationSeparator" w:id="0">
    <w:p w14:paraId="1C1E5573" w14:textId="77777777" w:rsidR="00000000" w:rsidRDefault="0089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CD93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252F" w14:paraId="39D155CC" w14:textId="77777777" w:rsidTr="009C1E9A">
      <w:trPr>
        <w:cantSplit/>
      </w:trPr>
      <w:tc>
        <w:tcPr>
          <w:tcW w:w="0" w:type="pct"/>
        </w:tcPr>
        <w:p w14:paraId="35C463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1D61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3184F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C818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9576B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252F" w14:paraId="05C6C0F1" w14:textId="77777777" w:rsidTr="009C1E9A">
      <w:trPr>
        <w:cantSplit/>
      </w:trPr>
      <w:tc>
        <w:tcPr>
          <w:tcW w:w="0" w:type="pct"/>
        </w:tcPr>
        <w:p w14:paraId="2ED5578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8B25B7" w14:textId="50905798" w:rsidR="00EC379B" w:rsidRPr="009C1E9A" w:rsidRDefault="00895F1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19513</w:t>
          </w:r>
        </w:p>
      </w:tc>
      <w:tc>
        <w:tcPr>
          <w:tcW w:w="2453" w:type="pct"/>
        </w:tcPr>
        <w:p w14:paraId="7A32B13F" w14:textId="0E657B1F" w:rsidR="00EC379B" w:rsidRDefault="00895F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149C2">
            <w:t>21.101.92</w:t>
          </w:r>
          <w:r>
            <w:fldChar w:fldCharType="end"/>
          </w:r>
        </w:p>
      </w:tc>
    </w:tr>
    <w:tr w:rsidR="00EE252F" w14:paraId="7A639A1C" w14:textId="77777777" w:rsidTr="009C1E9A">
      <w:trPr>
        <w:cantSplit/>
      </w:trPr>
      <w:tc>
        <w:tcPr>
          <w:tcW w:w="0" w:type="pct"/>
        </w:tcPr>
        <w:p w14:paraId="34E4853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DD65FA6" w14:textId="4C14BB35" w:rsidR="00EC379B" w:rsidRPr="009C1E9A" w:rsidRDefault="00895F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18729</w:t>
          </w:r>
        </w:p>
      </w:tc>
      <w:tc>
        <w:tcPr>
          <w:tcW w:w="2453" w:type="pct"/>
        </w:tcPr>
        <w:p w14:paraId="64203BA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39D08B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252F" w14:paraId="0844822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A1C1144" w14:textId="7CDB8A9F" w:rsidR="00EC379B" w:rsidRDefault="00895F1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149C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1CF49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7410DC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C67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5AA09" w14:textId="77777777" w:rsidR="00000000" w:rsidRDefault="00895F1C">
      <w:r>
        <w:separator/>
      </w:r>
    </w:p>
  </w:footnote>
  <w:footnote w:type="continuationSeparator" w:id="0">
    <w:p w14:paraId="62632378" w14:textId="77777777" w:rsidR="00000000" w:rsidRDefault="0089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5E9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5447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5990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359DF"/>
    <w:multiLevelType w:val="hybridMultilevel"/>
    <w:tmpl w:val="383EFCB8"/>
    <w:lvl w:ilvl="0" w:tplc="4B44D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28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E07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AD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AE9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4F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AF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25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26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2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9C2"/>
    <w:rsid w:val="00014AF0"/>
    <w:rsid w:val="000155D6"/>
    <w:rsid w:val="00015D4E"/>
    <w:rsid w:val="0002092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D9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516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3F63"/>
    <w:rsid w:val="0030459C"/>
    <w:rsid w:val="00313DFE"/>
    <w:rsid w:val="003143B2"/>
    <w:rsid w:val="00314821"/>
    <w:rsid w:val="0031483F"/>
    <w:rsid w:val="0031741B"/>
    <w:rsid w:val="00320D6F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6B3B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7F08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8D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C9B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A9C"/>
    <w:rsid w:val="006272DD"/>
    <w:rsid w:val="00630963"/>
    <w:rsid w:val="00631897"/>
    <w:rsid w:val="00632928"/>
    <w:rsid w:val="006330DA"/>
    <w:rsid w:val="00633262"/>
    <w:rsid w:val="00633460"/>
    <w:rsid w:val="00637762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402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66C4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5BA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F1C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13F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B8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FC1"/>
    <w:rsid w:val="00A3420E"/>
    <w:rsid w:val="00A34B6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4C2"/>
    <w:rsid w:val="00B745DB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1786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6A91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68"/>
    <w:rsid w:val="00C37C84"/>
    <w:rsid w:val="00C42B41"/>
    <w:rsid w:val="00C46166"/>
    <w:rsid w:val="00C4710D"/>
    <w:rsid w:val="00C50CAD"/>
    <w:rsid w:val="00C57933"/>
    <w:rsid w:val="00C60206"/>
    <w:rsid w:val="00C610CB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05C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6BD5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DBF"/>
    <w:rsid w:val="00ED0665"/>
    <w:rsid w:val="00ED12C0"/>
    <w:rsid w:val="00ED19F0"/>
    <w:rsid w:val="00ED2B50"/>
    <w:rsid w:val="00ED3A32"/>
    <w:rsid w:val="00ED3BDE"/>
    <w:rsid w:val="00ED68FB"/>
    <w:rsid w:val="00ED783A"/>
    <w:rsid w:val="00EE252F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2DF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3692B9-EBB8-41EF-8B6B-A0848977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05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0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05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0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0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2770</Characters>
  <Application>Microsoft Office Word</Application>
  <DocSecurity>4</DocSecurity>
  <Lines>74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HB04218 (Committee Report (Substituted))</vt:lpstr>
    </vt:vector>
  </TitlesOfParts>
  <Company>State of Texas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19513</dc:subject>
  <dc:creator>State of Texas</dc:creator>
  <dc:description>HB 4218 by Craddick-(H)Judiciary &amp; Civil Jurisprudence (Substitute Document Number: 87R 18729)</dc:description>
  <cp:lastModifiedBy>Thomas Weis</cp:lastModifiedBy>
  <cp:revision>2</cp:revision>
  <cp:lastPrinted>2003-11-26T17:21:00Z</cp:lastPrinted>
  <dcterms:created xsi:type="dcterms:W3CDTF">2021-04-13T20:23:00Z</dcterms:created>
  <dcterms:modified xsi:type="dcterms:W3CDTF">2021-04-13T20:23:00Z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21.101.92</vt:lpwstr>
  </property>
</Properties>
</file>