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360"/>
      </w:tblGrid>
      <w:tr w:rsidR="00AC58E4" w14:paraId="2B8CCB5B" w14:textId="77777777" w:rsidTr="00345119">
        <w:tc>
          <w:tcPr>
            <w:tcW w:w="9576" w:type="dxa"/>
            <w:noWrap/>
          </w:tcPr>
          <w:p w14:paraId="292C823B" w14:textId="77777777" w:rsidR="008423E4" w:rsidRPr="0022177D" w:rsidRDefault="002D1968" w:rsidP="00373630">
            <w:pPr>
              <w:pStyle w:val="Heading1"/>
              <w:contextualSpacing/>
            </w:pPr>
            <w:bookmarkStart w:id="0" w:name="_GoBack"/>
            <w:bookmarkEnd w:id="0"/>
            <w:r w:rsidRPr="00631897">
              <w:t>BILL ANALYSIS</w:t>
            </w:r>
          </w:p>
        </w:tc>
      </w:tr>
    </w:tbl>
    <w:p w14:paraId="53622532" w14:textId="77777777" w:rsidR="008423E4" w:rsidRPr="003B55EE" w:rsidRDefault="008423E4" w:rsidP="00373630">
      <w:pPr>
        <w:contextualSpacing/>
        <w:jc w:val="center"/>
        <w:rPr>
          <w:sz w:val="20"/>
          <w:szCs w:val="20"/>
        </w:rPr>
      </w:pPr>
    </w:p>
    <w:p w14:paraId="7739BF69" w14:textId="77777777" w:rsidR="008423E4" w:rsidRPr="003B55EE" w:rsidRDefault="008423E4" w:rsidP="00373630">
      <w:pPr>
        <w:contextualSpacing/>
        <w:rPr>
          <w:sz w:val="20"/>
          <w:szCs w:val="20"/>
        </w:rPr>
      </w:pPr>
    </w:p>
    <w:p w14:paraId="7D710D96" w14:textId="77777777" w:rsidR="008423E4" w:rsidRPr="003B55EE" w:rsidRDefault="008423E4" w:rsidP="00373630">
      <w:pPr>
        <w:tabs>
          <w:tab w:val="right" w:pos="9360"/>
        </w:tabs>
        <w:contextualSpacing/>
        <w:rPr>
          <w:sz w:val="20"/>
          <w:szCs w:val="20"/>
        </w:rPr>
      </w:pPr>
    </w:p>
    <w:tbl>
      <w:tblPr>
        <w:tblW w:w="0" w:type="auto"/>
        <w:tblLayout w:type="fixed"/>
        <w:tblLook w:val="01E0" w:firstRow="1" w:lastRow="1" w:firstColumn="1" w:lastColumn="1" w:noHBand="0" w:noVBand="0"/>
      </w:tblPr>
      <w:tblGrid>
        <w:gridCol w:w="9576"/>
      </w:tblGrid>
      <w:tr w:rsidR="00AC58E4" w14:paraId="6107967B" w14:textId="77777777" w:rsidTr="00345119">
        <w:tc>
          <w:tcPr>
            <w:tcW w:w="9576" w:type="dxa"/>
          </w:tcPr>
          <w:p w14:paraId="752329CD" w14:textId="4737B834" w:rsidR="008423E4" w:rsidRPr="00861995" w:rsidRDefault="002D1968" w:rsidP="00373630">
            <w:pPr>
              <w:contextualSpacing/>
              <w:jc w:val="right"/>
            </w:pPr>
            <w:r>
              <w:t>C.S.H.B. 4294</w:t>
            </w:r>
          </w:p>
        </w:tc>
      </w:tr>
      <w:tr w:rsidR="00AC58E4" w14:paraId="4EE63D13" w14:textId="77777777" w:rsidTr="00345119">
        <w:tc>
          <w:tcPr>
            <w:tcW w:w="9576" w:type="dxa"/>
          </w:tcPr>
          <w:p w14:paraId="7B24D402" w14:textId="70366C24" w:rsidR="008423E4" w:rsidRPr="00861995" w:rsidRDefault="002D1968" w:rsidP="00677C54">
            <w:pPr>
              <w:contextualSpacing/>
              <w:jc w:val="right"/>
            </w:pPr>
            <w:r>
              <w:t xml:space="preserve">By: </w:t>
            </w:r>
            <w:r w:rsidR="00677C54">
              <w:t>Metcalf</w:t>
            </w:r>
          </w:p>
        </w:tc>
      </w:tr>
      <w:tr w:rsidR="00AC58E4" w14:paraId="331DF075" w14:textId="77777777" w:rsidTr="00345119">
        <w:tc>
          <w:tcPr>
            <w:tcW w:w="9576" w:type="dxa"/>
          </w:tcPr>
          <w:p w14:paraId="71C1CE8D" w14:textId="061E3E25" w:rsidR="008423E4" w:rsidRPr="00861995" w:rsidRDefault="002D1968" w:rsidP="00373630">
            <w:pPr>
              <w:contextualSpacing/>
              <w:jc w:val="right"/>
            </w:pPr>
            <w:r>
              <w:t>House Administration</w:t>
            </w:r>
          </w:p>
        </w:tc>
      </w:tr>
      <w:tr w:rsidR="00AC58E4" w14:paraId="43CB925E" w14:textId="77777777" w:rsidTr="00345119">
        <w:tc>
          <w:tcPr>
            <w:tcW w:w="9576" w:type="dxa"/>
          </w:tcPr>
          <w:p w14:paraId="1E9E8E73" w14:textId="20BB6967" w:rsidR="008423E4" w:rsidRDefault="002D1968" w:rsidP="00373630">
            <w:pPr>
              <w:contextualSpacing/>
              <w:jc w:val="right"/>
            </w:pPr>
            <w:r>
              <w:t>Committee Report (Substituted)</w:t>
            </w:r>
          </w:p>
        </w:tc>
      </w:tr>
    </w:tbl>
    <w:p w14:paraId="73BAE9A6" w14:textId="77777777" w:rsidR="008423E4" w:rsidRPr="003B55EE" w:rsidRDefault="008423E4" w:rsidP="00373630">
      <w:pPr>
        <w:tabs>
          <w:tab w:val="right" w:pos="9360"/>
        </w:tabs>
        <w:contextualSpacing/>
        <w:rPr>
          <w:sz w:val="20"/>
          <w:szCs w:val="20"/>
        </w:rPr>
      </w:pPr>
    </w:p>
    <w:p w14:paraId="64A28CC6" w14:textId="77777777" w:rsidR="008423E4" w:rsidRPr="003B55EE" w:rsidRDefault="008423E4" w:rsidP="00373630">
      <w:pPr>
        <w:contextualSpacing/>
        <w:rPr>
          <w:sz w:val="20"/>
          <w:szCs w:val="20"/>
        </w:rPr>
      </w:pPr>
    </w:p>
    <w:p w14:paraId="4AFF715A" w14:textId="77777777" w:rsidR="008423E4" w:rsidRPr="003B55EE" w:rsidRDefault="008423E4" w:rsidP="00373630">
      <w:pPr>
        <w:contextualSpacing/>
        <w:rPr>
          <w:sz w:val="20"/>
          <w:szCs w:val="20"/>
        </w:rPr>
      </w:pPr>
    </w:p>
    <w:tbl>
      <w:tblPr>
        <w:tblW w:w="0" w:type="auto"/>
        <w:tblCellMar>
          <w:left w:w="115" w:type="dxa"/>
          <w:right w:w="115" w:type="dxa"/>
        </w:tblCellMar>
        <w:tblLook w:val="01E0" w:firstRow="1" w:lastRow="1" w:firstColumn="1" w:lastColumn="1" w:noHBand="0" w:noVBand="0"/>
      </w:tblPr>
      <w:tblGrid>
        <w:gridCol w:w="9360"/>
      </w:tblGrid>
      <w:tr w:rsidR="00AC58E4" w14:paraId="239280ED" w14:textId="77777777" w:rsidTr="00373630">
        <w:tc>
          <w:tcPr>
            <w:tcW w:w="9360" w:type="dxa"/>
          </w:tcPr>
          <w:p w14:paraId="44AC7957" w14:textId="77777777" w:rsidR="008423E4" w:rsidRPr="00A8133F" w:rsidRDefault="002D1968" w:rsidP="00373630">
            <w:pPr>
              <w:contextualSpacing/>
              <w:rPr>
                <w:b/>
              </w:rPr>
            </w:pPr>
            <w:r w:rsidRPr="009C1E9A">
              <w:rPr>
                <w:b/>
                <w:u w:val="single"/>
              </w:rPr>
              <w:t>BACKGROUND AND PURPOSE</w:t>
            </w:r>
            <w:r>
              <w:rPr>
                <w:b/>
              </w:rPr>
              <w:t xml:space="preserve"> </w:t>
            </w:r>
          </w:p>
          <w:p w14:paraId="27B7CACF" w14:textId="77777777" w:rsidR="008423E4" w:rsidRDefault="008423E4" w:rsidP="00373630">
            <w:pPr>
              <w:contextualSpacing/>
            </w:pPr>
          </w:p>
          <w:p w14:paraId="50EC369F" w14:textId="32D2BE83" w:rsidR="008423E4" w:rsidRDefault="002D1968" w:rsidP="00373630">
            <w:pPr>
              <w:pStyle w:val="Header"/>
              <w:contextualSpacing/>
              <w:jc w:val="both"/>
            </w:pPr>
            <w:r>
              <w:t xml:space="preserve">Since 1961, the Texas Legislature has established a statutory framework to permit legislators and legislative committees to </w:t>
            </w:r>
            <w:r>
              <w:t>conduct activities on a full-time basis to achieve efficiency and continuity in performing the duties assigned to the legislative branch. As part of this framework, the legislature has authorized a number of joint entities, including joint committee</w:t>
            </w:r>
            <w:r w:rsidR="00373630">
              <w:t>s</w:t>
            </w:r>
            <w:r>
              <w:t xml:space="preserve"> and l</w:t>
            </w:r>
            <w:r>
              <w:t xml:space="preserve">egislative service agencies, to enable </w:t>
            </w:r>
            <w:r w:rsidR="004656B0">
              <w:t xml:space="preserve">the legislature </w:t>
            </w:r>
            <w:r>
              <w:t xml:space="preserve">to </w:t>
            </w:r>
            <w:r w:rsidR="004656B0">
              <w:t xml:space="preserve">efficiently and </w:t>
            </w:r>
            <w:r>
              <w:t>effectively meet the demands of modern lawmaking. To ensure that these entities are able to perform their roles of aiding the legislative process, current law needs updating. C.S.H.B</w:t>
            </w:r>
            <w:r>
              <w:t>. 4294 seeks to revise certain organizational structures and procedures related to joint entities to enhance the legislature's ability to legislate for an engaged citizenry as envisioned by the framers of the Texas Constitution.</w:t>
            </w:r>
          </w:p>
          <w:p w14:paraId="10F86049" w14:textId="77777777" w:rsidR="008423E4" w:rsidRPr="00E26B13" w:rsidRDefault="008423E4" w:rsidP="00373630">
            <w:pPr>
              <w:contextualSpacing/>
              <w:rPr>
                <w:b/>
              </w:rPr>
            </w:pPr>
          </w:p>
        </w:tc>
      </w:tr>
      <w:tr w:rsidR="00AC58E4" w14:paraId="42E0B4EA" w14:textId="77777777" w:rsidTr="00373630">
        <w:tc>
          <w:tcPr>
            <w:tcW w:w="9360" w:type="dxa"/>
          </w:tcPr>
          <w:p w14:paraId="4668C49C" w14:textId="77777777" w:rsidR="0017725B" w:rsidRDefault="002D1968" w:rsidP="00373630">
            <w:pPr>
              <w:contextualSpacing/>
              <w:rPr>
                <w:b/>
                <w:u w:val="single"/>
              </w:rPr>
            </w:pPr>
            <w:r>
              <w:rPr>
                <w:b/>
                <w:u w:val="single"/>
              </w:rPr>
              <w:t>CRIMINAL JUSTICE IMPACT</w:t>
            </w:r>
          </w:p>
          <w:p w14:paraId="3C4B7D92" w14:textId="77777777" w:rsidR="0017725B" w:rsidRDefault="0017725B" w:rsidP="00373630">
            <w:pPr>
              <w:contextualSpacing/>
              <w:rPr>
                <w:b/>
                <w:u w:val="single"/>
              </w:rPr>
            </w:pPr>
          </w:p>
          <w:p w14:paraId="371D2F45" w14:textId="77777777" w:rsidR="00750BE5" w:rsidRPr="00750BE5" w:rsidRDefault="002D1968" w:rsidP="00373630">
            <w:pPr>
              <w:contextualSpacing/>
              <w:jc w:val="both"/>
            </w:pPr>
            <w:r>
              <w:t>It is the committee's opinion that this bill does not expressly create a criminal offense, increase the punishment for an existing criminal offense or category of offenses, or change the eligibility of a person for community supervision, parole, or mandato</w:t>
            </w:r>
            <w:r>
              <w:t>ry supervision.</w:t>
            </w:r>
          </w:p>
          <w:p w14:paraId="75AB2CC0" w14:textId="77777777" w:rsidR="0017725B" w:rsidRPr="0017725B" w:rsidRDefault="0017725B" w:rsidP="00373630">
            <w:pPr>
              <w:contextualSpacing/>
              <w:rPr>
                <w:b/>
                <w:u w:val="single"/>
              </w:rPr>
            </w:pPr>
          </w:p>
        </w:tc>
      </w:tr>
      <w:tr w:rsidR="00AC58E4" w14:paraId="6ED6118B" w14:textId="77777777" w:rsidTr="00373630">
        <w:tc>
          <w:tcPr>
            <w:tcW w:w="9360" w:type="dxa"/>
          </w:tcPr>
          <w:p w14:paraId="418955E4" w14:textId="77777777" w:rsidR="008423E4" w:rsidRPr="00A8133F" w:rsidRDefault="002D1968" w:rsidP="00373630">
            <w:pPr>
              <w:contextualSpacing/>
              <w:rPr>
                <w:b/>
              </w:rPr>
            </w:pPr>
            <w:r w:rsidRPr="009C1E9A">
              <w:rPr>
                <w:b/>
                <w:u w:val="single"/>
              </w:rPr>
              <w:t>RULEMAKING AUTHORITY</w:t>
            </w:r>
            <w:r>
              <w:rPr>
                <w:b/>
              </w:rPr>
              <w:t xml:space="preserve"> </w:t>
            </w:r>
          </w:p>
          <w:p w14:paraId="4CB0E059" w14:textId="77777777" w:rsidR="008423E4" w:rsidRDefault="008423E4" w:rsidP="00373630">
            <w:pPr>
              <w:contextualSpacing/>
            </w:pPr>
          </w:p>
          <w:p w14:paraId="389B8BFA" w14:textId="77777777" w:rsidR="00750BE5" w:rsidRDefault="002D1968" w:rsidP="00373630">
            <w:pPr>
              <w:pStyle w:val="Header"/>
              <w:tabs>
                <w:tab w:val="clear" w:pos="4320"/>
                <w:tab w:val="clear" w:pos="8640"/>
              </w:tabs>
              <w:contextualSpacing/>
              <w:jc w:val="both"/>
            </w:pPr>
            <w:r>
              <w:t>It is the committee's opinion that this bill does not expressly grant any additional rulemaking authority to a state officer, department, agency, or institution.</w:t>
            </w:r>
          </w:p>
          <w:p w14:paraId="4255C0E6" w14:textId="77777777" w:rsidR="008423E4" w:rsidRPr="00E21FDC" w:rsidRDefault="008423E4" w:rsidP="00373630">
            <w:pPr>
              <w:contextualSpacing/>
              <w:rPr>
                <w:b/>
              </w:rPr>
            </w:pPr>
          </w:p>
        </w:tc>
      </w:tr>
      <w:tr w:rsidR="00AC58E4" w14:paraId="36C2C153" w14:textId="77777777" w:rsidTr="00373630">
        <w:tc>
          <w:tcPr>
            <w:tcW w:w="9360" w:type="dxa"/>
          </w:tcPr>
          <w:p w14:paraId="256BE11B" w14:textId="77777777" w:rsidR="008423E4" w:rsidRPr="00A8133F" w:rsidRDefault="002D1968" w:rsidP="00373630">
            <w:pPr>
              <w:contextualSpacing/>
              <w:rPr>
                <w:b/>
              </w:rPr>
            </w:pPr>
            <w:r w:rsidRPr="009C1E9A">
              <w:rPr>
                <w:b/>
                <w:u w:val="single"/>
              </w:rPr>
              <w:t>ANALYSIS</w:t>
            </w:r>
            <w:r>
              <w:rPr>
                <w:b/>
              </w:rPr>
              <w:t xml:space="preserve"> </w:t>
            </w:r>
          </w:p>
          <w:p w14:paraId="36A799F5" w14:textId="77777777" w:rsidR="008423E4" w:rsidRDefault="008423E4" w:rsidP="00373630">
            <w:pPr>
              <w:contextualSpacing/>
            </w:pPr>
          </w:p>
          <w:p w14:paraId="56CA1AFA" w14:textId="447F855D" w:rsidR="009C36CD" w:rsidRDefault="002D1968" w:rsidP="00373630">
            <w:pPr>
              <w:pStyle w:val="Header"/>
              <w:tabs>
                <w:tab w:val="clear" w:pos="4320"/>
                <w:tab w:val="clear" w:pos="8640"/>
              </w:tabs>
              <w:contextualSpacing/>
              <w:jc w:val="both"/>
            </w:pPr>
            <w:r>
              <w:t>C.S.H.B. 4294 amends the</w:t>
            </w:r>
            <w:r w:rsidR="008C22B4">
              <w:t xml:space="preserve"> Government Code to require that </w:t>
            </w:r>
            <w:r w:rsidR="008C22B4" w:rsidRPr="008C22B4">
              <w:t>per diem and travel expenses paid to a member of a joint committee established by statute be paid by the house to which the member belongs</w:t>
            </w:r>
            <w:r w:rsidR="008C22B4">
              <w:t xml:space="preserve"> unless a statute expressly provides otherwise.</w:t>
            </w:r>
            <w:r w:rsidR="00373630">
              <w:t xml:space="preserve"> Per diem and travel expenses for a public member of such a joint committee are to be paid by the office of the appointing entity.</w:t>
            </w:r>
          </w:p>
          <w:p w14:paraId="4FABC785" w14:textId="73012CBF" w:rsidR="008C22B4" w:rsidRDefault="008C22B4" w:rsidP="00373630">
            <w:pPr>
              <w:pStyle w:val="Header"/>
              <w:tabs>
                <w:tab w:val="clear" w:pos="4320"/>
                <w:tab w:val="clear" w:pos="8640"/>
              </w:tabs>
              <w:contextualSpacing/>
              <w:jc w:val="both"/>
            </w:pPr>
          </w:p>
          <w:p w14:paraId="0F1E8A49" w14:textId="1C31128D" w:rsidR="00E97037" w:rsidRDefault="002D1968" w:rsidP="00373630">
            <w:pPr>
              <w:pStyle w:val="Header"/>
              <w:contextualSpacing/>
              <w:jc w:val="both"/>
            </w:pPr>
            <w:r>
              <w:t xml:space="preserve">C.S.H.B. 4294 </w:t>
            </w:r>
            <w:r w:rsidR="000A6669">
              <w:t xml:space="preserve">provides </w:t>
            </w:r>
            <w:r w:rsidR="001967E5">
              <w:t xml:space="preserve">that, if the joint chairs or the chairman and vice-chairman </w:t>
            </w:r>
            <w:r w:rsidR="000A6669">
              <w:t xml:space="preserve">of </w:t>
            </w:r>
            <w:r>
              <w:t xml:space="preserve">the legislative audit committee, </w:t>
            </w:r>
            <w:r w:rsidR="007A6436">
              <w:t xml:space="preserve">the Texas Legislative Council (TLC), the legislative library board, </w:t>
            </w:r>
            <w:r w:rsidR="000A6669">
              <w:t>or</w:t>
            </w:r>
            <w:r w:rsidR="007A6436">
              <w:t xml:space="preserve"> the Sunset Advisory Commission</w:t>
            </w:r>
            <w:r w:rsidR="001967E5">
              <w:t>, as applicable,</w:t>
            </w:r>
            <w:r w:rsidR="000A6669">
              <w:t xml:space="preserve"> </w:t>
            </w:r>
            <w:r w:rsidR="001967E5">
              <w:t>are physically present at a meeting of the body in Austin during</w:t>
            </w:r>
            <w:r w:rsidR="000A6669">
              <w:t xml:space="preserve"> a disaster</w:t>
            </w:r>
            <w:r w:rsidR="001967E5">
              <w:t xml:space="preserve"> that</w:t>
            </w:r>
            <w:r w:rsidR="000A6669">
              <w:t xml:space="preserve"> has been declared for the first time after the date of final adjournment of the most recent regular session of the legislature and </w:t>
            </w:r>
            <w:r w:rsidR="001967E5">
              <w:t xml:space="preserve">that </w:t>
            </w:r>
            <w:r w:rsidR="000A6669">
              <w:t xml:space="preserve">is currently in effect in Texas as the result of a declaration by the U.S. president under federal law or a declaration or determination by a public officer, governing body, or authority under </w:t>
            </w:r>
            <w:r w:rsidR="001967E5">
              <w:t xml:space="preserve">state </w:t>
            </w:r>
            <w:r w:rsidR="000A6669">
              <w:t>law</w:t>
            </w:r>
            <w:r w:rsidR="001967E5">
              <w:t>,</w:t>
            </w:r>
            <w:r w:rsidR="000A6669">
              <w:t xml:space="preserve"> including the Texas Constitution</w:t>
            </w:r>
            <w:r w:rsidR="001967E5">
              <w:t>, any of the remaining members may attend and participate in the meeting remotely using telephone conference call, video conference call, or other similar means of telecommunication, regardless of the subject of the meeting or the topics considered by members.</w:t>
            </w:r>
            <w:r w:rsidR="00A94313">
              <w:t xml:space="preserve"> </w:t>
            </w:r>
            <w:r w:rsidR="00A94313" w:rsidRPr="00A94313">
              <w:t xml:space="preserve">A member who participates in a meeting remotely is considered present for purposes of determining whether a quorum is present, for purposes of voting, and for any other purpose that allows a member to otherwise fully participate in </w:t>
            </w:r>
            <w:r w:rsidR="00A94313">
              <w:t>the</w:t>
            </w:r>
            <w:r w:rsidR="00A94313" w:rsidRPr="00A94313">
              <w:t xml:space="preserve"> meeting.</w:t>
            </w:r>
          </w:p>
          <w:p w14:paraId="21A1752E" w14:textId="6345B6DA" w:rsidR="00A94313" w:rsidRDefault="00A94313" w:rsidP="00373630">
            <w:pPr>
              <w:pStyle w:val="Header"/>
              <w:contextualSpacing/>
              <w:jc w:val="both"/>
            </w:pPr>
          </w:p>
          <w:p w14:paraId="0484C176" w14:textId="4EA9EA39" w:rsidR="00A94313" w:rsidRDefault="002D1968" w:rsidP="00373630">
            <w:pPr>
              <w:pStyle w:val="Header"/>
              <w:contextualSpacing/>
              <w:jc w:val="both"/>
            </w:pPr>
            <w:r>
              <w:t>C.S.H.B. 4294 provides the following with respect to such a meeting held by use of t</w:t>
            </w:r>
            <w:r w:rsidRPr="00A94313">
              <w:t>elephone conference call, video conference call, or other similar means of telecommunication:</w:t>
            </w:r>
          </w:p>
          <w:p w14:paraId="42616D39" w14:textId="2B5E3DF0" w:rsidR="00A94313" w:rsidRDefault="002D1968" w:rsidP="00373630">
            <w:pPr>
              <w:pStyle w:val="Header"/>
              <w:numPr>
                <w:ilvl w:val="0"/>
                <w:numId w:val="2"/>
              </w:numPr>
              <w:contextualSpacing/>
              <w:jc w:val="both"/>
            </w:pPr>
            <w:r>
              <w:t>the meeting is subject to app</w:t>
            </w:r>
            <w:r>
              <w:t>licable notice requirements;</w:t>
            </w:r>
          </w:p>
          <w:p w14:paraId="7EB3AA26" w14:textId="5786E9AF" w:rsidR="00A94313" w:rsidRDefault="002D1968" w:rsidP="00373630">
            <w:pPr>
              <w:pStyle w:val="Header"/>
              <w:numPr>
                <w:ilvl w:val="0"/>
                <w:numId w:val="2"/>
              </w:numPr>
              <w:contextualSpacing/>
              <w:jc w:val="both"/>
            </w:pPr>
            <w:r>
              <w:t>the meeting notice must specify the location in Austin of the meeting at which the joint chairs or the chairman and vice-chairman, as applicable, will be physically present;</w:t>
            </w:r>
          </w:p>
          <w:p w14:paraId="2A2A2141" w14:textId="2D6B60BB" w:rsidR="00A94313" w:rsidRDefault="002D1968" w:rsidP="00373630">
            <w:pPr>
              <w:pStyle w:val="Header"/>
              <w:numPr>
                <w:ilvl w:val="0"/>
                <w:numId w:val="2"/>
              </w:numPr>
              <w:contextualSpacing/>
              <w:jc w:val="both"/>
            </w:pPr>
            <w:r>
              <w:t xml:space="preserve">the meeting must be open to the public and must be </w:t>
            </w:r>
            <w:r>
              <w:t>audible to the public at that specified location;</w:t>
            </w:r>
          </w:p>
          <w:p w14:paraId="1FA9E946" w14:textId="58E463B5" w:rsidR="00A94313" w:rsidRDefault="002D1968" w:rsidP="00373630">
            <w:pPr>
              <w:pStyle w:val="Header"/>
              <w:numPr>
                <w:ilvl w:val="0"/>
                <w:numId w:val="2"/>
              </w:numPr>
              <w:contextualSpacing/>
              <w:jc w:val="both"/>
            </w:pPr>
            <w:r>
              <w:t xml:space="preserve">must provide two-way audio communication between all members of the </w:t>
            </w:r>
            <w:r w:rsidR="00373630">
              <w:t xml:space="preserve">applicable </w:t>
            </w:r>
            <w:r>
              <w:t>board</w:t>
            </w:r>
            <w:r w:rsidR="00373630">
              <w:t>, committee, council, or commission</w:t>
            </w:r>
            <w:r>
              <w:t xml:space="preserve"> attending the meeting during the entire meeting; and</w:t>
            </w:r>
          </w:p>
          <w:p w14:paraId="678B5B9B" w14:textId="491D5133" w:rsidR="00A94313" w:rsidRDefault="002D1968" w:rsidP="00373630">
            <w:pPr>
              <w:pStyle w:val="Header"/>
              <w:numPr>
                <w:ilvl w:val="0"/>
                <w:numId w:val="2"/>
              </w:numPr>
              <w:contextualSpacing/>
              <w:jc w:val="both"/>
            </w:pPr>
            <w:r>
              <w:t>if the two-way audio communicatio</w:t>
            </w:r>
            <w:r>
              <w:t xml:space="preserve">n link with any member attending the meeting is disrupted at any time, the meeting may not continue until the </w:t>
            </w:r>
            <w:r w:rsidR="00154F1D">
              <w:t xml:space="preserve">audio communication </w:t>
            </w:r>
            <w:r>
              <w:t>link is reestablished.</w:t>
            </w:r>
          </w:p>
          <w:p w14:paraId="1DF48651" w14:textId="77777777" w:rsidR="00E97037" w:rsidRDefault="00E97037" w:rsidP="00373630">
            <w:pPr>
              <w:pStyle w:val="Header"/>
              <w:tabs>
                <w:tab w:val="clear" w:pos="4320"/>
                <w:tab w:val="clear" w:pos="8640"/>
              </w:tabs>
              <w:contextualSpacing/>
              <w:jc w:val="both"/>
            </w:pPr>
          </w:p>
          <w:p w14:paraId="02B7CF51" w14:textId="5FF5A6FF" w:rsidR="008C22B4" w:rsidRDefault="002D1968" w:rsidP="00373630">
            <w:pPr>
              <w:pStyle w:val="Header"/>
              <w:tabs>
                <w:tab w:val="clear" w:pos="4320"/>
                <w:tab w:val="clear" w:pos="8640"/>
              </w:tabs>
              <w:contextualSpacing/>
              <w:jc w:val="both"/>
            </w:pPr>
            <w:r>
              <w:t>C.S.H.B. 4294 excludes the Texas Ethics Commission from consideration as a legislative agency for purp</w:t>
            </w:r>
            <w:r>
              <w:t xml:space="preserve">oses of provisions governing the cooperation between such agencies. The bill authorizes </w:t>
            </w:r>
            <w:r w:rsidR="00BE27D9">
              <w:t>TLC</w:t>
            </w:r>
            <w:r>
              <w:t xml:space="preserve"> to </w:t>
            </w:r>
            <w:r w:rsidRPr="008C22B4">
              <w:t xml:space="preserve">transfer money to another legislative agency to cover </w:t>
            </w:r>
            <w:r>
              <w:t xml:space="preserve">the other agency's </w:t>
            </w:r>
            <w:r w:rsidRPr="008C22B4">
              <w:t xml:space="preserve">expenses that the executive director of </w:t>
            </w:r>
            <w:r w:rsidR="00BE27D9">
              <w:t>TLC</w:t>
            </w:r>
            <w:r w:rsidRPr="008C22B4">
              <w:t xml:space="preserve"> determines to be necessary to further a purp</w:t>
            </w:r>
            <w:r w:rsidRPr="008C22B4">
              <w:t xml:space="preserve">ose of </w:t>
            </w:r>
            <w:r w:rsidR="00BE27D9">
              <w:t>TLC</w:t>
            </w:r>
            <w:r>
              <w:t>.</w:t>
            </w:r>
          </w:p>
          <w:p w14:paraId="3A295DC3" w14:textId="7B23BDD2" w:rsidR="00187A52" w:rsidRDefault="00187A52" w:rsidP="00373630">
            <w:pPr>
              <w:pStyle w:val="Header"/>
              <w:tabs>
                <w:tab w:val="clear" w:pos="4320"/>
                <w:tab w:val="clear" w:pos="8640"/>
              </w:tabs>
              <w:contextualSpacing/>
              <w:jc w:val="both"/>
            </w:pPr>
          </w:p>
          <w:p w14:paraId="253608D8" w14:textId="1816695A" w:rsidR="00187A52" w:rsidRDefault="002D1968" w:rsidP="00373630">
            <w:pPr>
              <w:pStyle w:val="Header"/>
              <w:tabs>
                <w:tab w:val="clear" w:pos="4320"/>
                <w:tab w:val="clear" w:pos="8640"/>
              </w:tabs>
              <w:contextualSpacing/>
              <w:jc w:val="both"/>
            </w:pPr>
            <w:r>
              <w:t xml:space="preserve">C.S.H.B. 4294 </w:t>
            </w:r>
            <w:r w:rsidR="00811BEA">
              <w:t xml:space="preserve">transfers Government Code provisions </w:t>
            </w:r>
            <w:r w:rsidR="003B55EE">
              <w:t>relating to</w:t>
            </w:r>
            <w:r w:rsidR="00811BEA">
              <w:t xml:space="preserve"> the Commission on Uniform State Laws to Subtitle C, </w:t>
            </w:r>
            <w:r w:rsidR="00207999">
              <w:t xml:space="preserve">Title 3, </w:t>
            </w:r>
            <w:r w:rsidR="00811BEA">
              <w:t>Government Code</w:t>
            </w:r>
            <w:r w:rsidR="00207999">
              <w:t xml:space="preserve">, governing legislative agencies and oversight committees. The bill </w:t>
            </w:r>
            <w:r>
              <w:t xml:space="preserve">expands the composition of the </w:t>
            </w:r>
            <w:r w:rsidR="00207999">
              <w:t>c</w:t>
            </w:r>
            <w:r>
              <w:t>ommi</w:t>
            </w:r>
            <w:r>
              <w:t>ssion to include the following additional members:</w:t>
            </w:r>
          </w:p>
          <w:p w14:paraId="415BF263" w14:textId="5D38027C" w:rsidR="00187A52" w:rsidRDefault="002D1968" w:rsidP="00373630">
            <w:pPr>
              <w:pStyle w:val="Header"/>
              <w:numPr>
                <w:ilvl w:val="0"/>
                <w:numId w:val="1"/>
              </w:numPr>
              <w:contextualSpacing/>
              <w:jc w:val="both"/>
            </w:pPr>
            <w:r>
              <w:t>two members appointed by the lieutenant governor, who are members or officers of the senate</w:t>
            </w:r>
            <w:r w:rsidR="00E97037">
              <w:t xml:space="preserve"> and serve at the lieutenant governor's pleasure</w:t>
            </w:r>
            <w:r>
              <w:t>;</w:t>
            </w:r>
          </w:p>
          <w:p w14:paraId="535DCCF6" w14:textId="0237C7DB" w:rsidR="00187A52" w:rsidRDefault="002D1968" w:rsidP="00373630">
            <w:pPr>
              <w:pStyle w:val="Header"/>
              <w:numPr>
                <w:ilvl w:val="0"/>
                <w:numId w:val="1"/>
              </w:numPr>
              <w:contextualSpacing/>
              <w:jc w:val="both"/>
            </w:pPr>
            <w:r>
              <w:t xml:space="preserve">two members appointed by the speaker of the house of </w:t>
            </w:r>
            <w:r>
              <w:t>representatives, who are members or officers of the house of representatives</w:t>
            </w:r>
            <w:r w:rsidR="00E97037">
              <w:t xml:space="preserve"> and serve at the speaker's pleasure</w:t>
            </w:r>
            <w:r>
              <w:t>; and</w:t>
            </w:r>
          </w:p>
          <w:p w14:paraId="5DE63F44" w14:textId="4BD905C7" w:rsidR="00187A52" w:rsidRDefault="002D1968" w:rsidP="00373630">
            <w:pPr>
              <w:pStyle w:val="Header"/>
              <w:numPr>
                <w:ilvl w:val="0"/>
                <w:numId w:val="1"/>
              </w:numPr>
              <w:contextualSpacing/>
              <w:jc w:val="both"/>
            </w:pPr>
            <w:r>
              <w:t>the chairs of the standing legislative committees</w:t>
            </w:r>
            <w:r w:rsidR="000A6669">
              <w:t xml:space="preserve"> with </w:t>
            </w:r>
            <w:r w:rsidR="000A6669" w:rsidRPr="000A6669">
              <w:t>primary jurisdiction over uniform state laws</w:t>
            </w:r>
            <w:r>
              <w:t>.</w:t>
            </w:r>
          </w:p>
          <w:p w14:paraId="2459676F" w14:textId="23EAA08B" w:rsidR="00E97037" w:rsidRPr="009C36CD" w:rsidRDefault="002D1968" w:rsidP="00373630">
            <w:pPr>
              <w:pStyle w:val="Header"/>
              <w:contextualSpacing/>
              <w:jc w:val="both"/>
            </w:pPr>
            <w:r>
              <w:t xml:space="preserve">The </w:t>
            </w:r>
            <w:r w:rsidR="00373630">
              <w:t xml:space="preserve">bill </w:t>
            </w:r>
            <w:r w:rsidR="000A6669">
              <w:t>specifies that to be eligible for service on the commission a person must be a licensed attorney.</w:t>
            </w:r>
            <w:r w:rsidR="00154F1D">
              <w:t xml:space="preserve"> </w:t>
            </w:r>
          </w:p>
          <w:p w14:paraId="2279D3E5" w14:textId="77777777" w:rsidR="008423E4" w:rsidRPr="00835628" w:rsidRDefault="008423E4" w:rsidP="00373630">
            <w:pPr>
              <w:contextualSpacing/>
              <w:rPr>
                <w:b/>
              </w:rPr>
            </w:pPr>
          </w:p>
        </w:tc>
      </w:tr>
      <w:tr w:rsidR="00AC58E4" w14:paraId="5A54DE25" w14:textId="77777777" w:rsidTr="00373630">
        <w:tc>
          <w:tcPr>
            <w:tcW w:w="9360" w:type="dxa"/>
          </w:tcPr>
          <w:p w14:paraId="687F4B6A" w14:textId="77777777" w:rsidR="008423E4" w:rsidRPr="00A8133F" w:rsidRDefault="002D1968" w:rsidP="00373630">
            <w:pPr>
              <w:contextualSpacing/>
              <w:rPr>
                <w:b/>
              </w:rPr>
            </w:pPr>
            <w:r w:rsidRPr="009C1E9A">
              <w:rPr>
                <w:b/>
                <w:u w:val="single"/>
              </w:rPr>
              <w:t>EFFECTIVE DATE</w:t>
            </w:r>
            <w:r>
              <w:rPr>
                <w:b/>
              </w:rPr>
              <w:t xml:space="preserve"> </w:t>
            </w:r>
          </w:p>
          <w:p w14:paraId="767D1F89" w14:textId="77777777" w:rsidR="008423E4" w:rsidRDefault="008423E4" w:rsidP="00373630">
            <w:pPr>
              <w:contextualSpacing/>
            </w:pPr>
          </w:p>
          <w:p w14:paraId="392FB88A" w14:textId="77777777" w:rsidR="008423E4" w:rsidRPr="003624F2" w:rsidRDefault="002D1968" w:rsidP="00373630">
            <w:pPr>
              <w:pStyle w:val="Header"/>
              <w:tabs>
                <w:tab w:val="clear" w:pos="4320"/>
                <w:tab w:val="clear" w:pos="8640"/>
              </w:tabs>
              <w:contextualSpacing/>
              <w:jc w:val="both"/>
            </w:pPr>
            <w:r>
              <w:t>On passage, or, if the bill does not receive the necessary vote, September 1, 2021.</w:t>
            </w:r>
          </w:p>
          <w:p w14:paraId="76C76404" w14:textId="77777777" w:rsidR="008423E4" w:rsidRPr="00233FDB" w:rsidRDefault="008423E4" w:rsidP="00373630">
            <w:pPr>
              <w:contextualSpacing/>
              <w:rPr>
                <w:b/>
              </w:rPr>
            </w:pPr>
          </w:p>
        </w:tc>
      </w:tr>
      <w:tr w:rsidR="00AC58E4" w14:paraId="0A4445EA" w14:textId="77777777" w:rsidTr="00373630">
        <w:tc>
          <w:tcPr>
            <w:tcW w:w="9360" w:type="dxa"/>
          </w:tcPr>
          <w:p w14:paraId="7A00B68C" w14:textId="77777777" w:rsidR="00677C54" w:rsidRDefault="002D1968" w:rsidP="00677C54">
            <w:pPr>
              <w:contextualSpacing/>
              <w:jc w:val="both"/>
              <w:rPr>
                <w:b/>
                <w:u w:val="single"/>
              </w:rPr>
            </w:pPr>
            <w:r>
              <w:rPr>
                <w:b/>
                <w:u w:val="single"/>
              </w:rPr>
              <w:t>COMPARISON OF ORIGINAL AND SUBSTITUTE</w:t>
            </w:r>
          </w:p>
          <w:p w14:paraId="309C01F9" w14:textId="77777777" w:rsidR="00185F1C" w:rsidRDefault="00185F1C" w:rsidP="00677C54">
            <w:pPr>
              <w:contextualSpacing/>
              <w:jc w:val="both"/>
              <w:rPr>
                <w:b/>
                <w:u w:val="single"/>
              </w:rPr>
            </w:pPr>
          </w:p>
          <w:p w14:paraId="1636C0AD" w14:textId="77777777" w:rsidR="00594201" w:rsidRDefault="002D1968" w:rsidP="00594201">
            <w:pPr>
              <w:contextualSpacing/>
              <w:jc w:val="both"/>
            </w:pPr>
            <w:r>
              <w:t xml:space="preserve">While C.S.H.B. 4294 may differ from the </w:t>
            </w:r>
            <w:r>
              <w:t>original in minor or nonsubstantive ways, the following summarizes the substantial differences between the introduced and committee substitute versions of the bill.</w:t>
            </w:r>
          </w:p>
          <w:p w14:paraId="4D8A7BAC" w14:textId="77777777" w:rsidR="00594201" w:rsidRDefault="00594201" w:rsidP="00594201">
            <w:pPr>
              <w:contextualSpacing/>
              <w:jc w:val="both"/>
            </w:pPr>
          </w:p>
          <w:p w14:paraId="54B7529F" w14:textId="25D2BBA6" w:rsidR="00594201" w:rsidRDefault="002D1968" w:rsidP="00594201">
            <w:pPr>
              <w:contextualSpacing/>
              <w:jc w:val="both"/>
            </w:pPr>
            <w:r>
              <w:t>The substitute includes a specification not included in the original that the provisions a</w:t>
            </w:r>
            <w:r>
              <w:t>uthorizing certain meetings to be held remotely as prescribed apply only if an applicable disaster declaration or determination is made for the first time after the date of final adjournment of the most recent regular session of the legislature.</w:t>
            </w:r>
          </w:p>
          <w:p w14:paraId="17E96F23" w14:textId="77777777" w:rsidR="00594201" w:rsidRDefault="00594201" w:rsidP="00594201">
            <w:pPr>
              <w:contextualSpacing/>
              <w:jc w:val="both"/>
            </w:pPr>
          </w:p>
          <w:p w14:paraId="71594F3A" w14:textId="77777777" w:rsidR="00594201" w:rsidRDefault="002D1968" w:rsidP="00594201">
            <w:pPr>
              <w:contextualSpacing/>
              <w:jc w:val="both"/>
            </w:pPr>
            <w:r>
              <w:t>The subst</w:t>
            </w:r>
            <w:r>
              <w:t xml:space="preserve">itute includes a provision not in the original authorizing TLC to transfer money to another legislative agency for certain purposes on determination of the executive director of TLC. </w:t>
            </w:r>
          </w:p>
          <w:p w14:paraId="0A416926" w14:textId="77777777" w:rsidR="00594201" w:rsidRDefault="00594201" w:rsidP="00594201">
            <w:pPr>
              <w:contextualSpacing/>
              <w:jc w:val="both"/>
            </w:pPr>
          </w:p>
          <w:p w14:paraId="63608E69" w14:textId="0A6B7AB3" w:rsidR="00594201" w:rsidRPr="00677C54" w:rsidRDefault="002D1968" w:rsidP="00594201">
            <w:pPr>
              <w:contextualSpacing/>
              <w:jc w:val="both"/>
              <w:rPr>
                <w:b/>
                <w:u w:val="single"/>
              </w:rPr>
            </w:pPr>
            <w:r>
              <w:t>The substitute revises provisions relating to the Commission on Uniform</w:t>
            </w:r>
            <w:r>
              <w:t xml:space="preserve"> State Laws, whereas the original did not.</w:t>
            </w:r>
          </w:p>
        </w:tc>
      </w:tr>
    </w:tbl>
    <w:p w14:paraId="188AABD4" w14:textId="77777777" w:rsidR="008423E4" w:rsidRPr="003B55EE" w:rsidRDefault="008423E4" w:rsidP="003B55EE">
      <w:pPr>
        <w:spacing w:line="480" w:lineRule="auto"/>
        <w:contextualSpacing/>
        <w:jc w:val="both"/>
        <w:rPr>
          <w:rFonts w:ascii="Arial" w:hAnsi="Arial"/>
          <w:sz w:val="2"/>
          <w:szCs w:val="2"/>
        </w:rPr>
      </w:pPr>
    </w:p>
    <w:sectPr w:rsidR="008423E4" w:rsidRPr="003B55EE"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C0CD3" w14:textId="77777777" w:rsidR="00000000" w:rsidRDefault="002D1968">
      <w:r>
        <w:separator/>
      </w:r>
    </w:p>
  </w:endnote>
  <w:endnote w:type="continuationSeparator" w:id="0">
    <w:p w14:paraId="2344CC92" w14:textId="77777777" w:rsidR="00000000" w:rsidRDefault="002D1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54580" w14:textId="77777777" w:rsidR="00594201" w:rsidRDefault="005942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4" w:type="pct"/>
      <w:tblCellMar>
        <w:left w:w="0" w:type="dxa"/>
        <w:right w:w="0" w:type="dxa"/>
      </w:tblCellMar>
      <w:tblLook w:val="01E0" w:firstRow="1" w:lastRow="1" w:firstColumn="1" w:lastColumn="1" w:noHBand="0" w:noVBand="0"/>
    </w:tblPr>
    <w:tblGrid>
      <w:gridCol w:w="6"/>
      <w:gridCol w:w="4569"/>
      <w:gridCol w:w="4680"/>
    </w:tblGrid>
    <w:tr w:rsidR="00AC58E4" w14:paraId="431902A2" w14:textId="77777777" w:rsidTr="009C1E9A">
      <w:trPr>
        <w:cantSplit/>
      </w:trPr>
      <w:tc>
        <w:tcPr>
          <w:tcW w:w="0" w:type="pct"/>
        </w:tcPr>
        <w:p w14:paraId="45BC6236" w14:textId="77777777" w:rsidR="00137D90" w:rsidRDefault="00137D90" w:rsidP="009C1E9A">
          <w:pPr>
            <w:pStyle w:val="Footer"/>
            <w:tabs>
              <w:tab w:val="clear" w:pos="8640"/>
              <w:tab w:val="right" w:pos="9360"/>
            </w:tabs>
          </w:pPr>
        </w:p>
      </w:tc>
      <w:tc>
        <w:tcPr>
          <w:tcW w:w="2395" w:type="pct"/>
        </w:tcPr>
        <w:p w14:paraId="67108C0E" w14:textId="77777777" w:rsidR="00137D90" w:rsidRDefault="00137D90" w:rsidP="009C1E9A">
          <w:pPr>
            <w:pStyle w:val="Footer"/>
            <w:tabs>
              <w:tab w:val="clear" w:pos="8640"/>
              <w:tab w:val="right" w:pos="9360"/>
            </w:tabs>
          </w:pPr>
        </w:p>
        <w:p w14:paraId="4045BBDD" w14:textId="77777777" w:rsidR="00137D90" w:rsidRDefault="00137D90" w:rsidP="009C1E9A">
          <w:pPr>
            <w:pStyle w:val="Footer"/>
            <w:tabs>
              <w:tab w:val="clear" w:pos="8640"/>
              <w:tab w:val="right" w:pos="9360"/>
            </w:tabs>
          </w:pPr>
        </w:p>
      </w:tc>
      <w:tc>
        <w:tcPr>
          <w:tcW w:w="2453" w:type="pct"/>
        </w:tcPr>
        <w:p w14:paraId="4E44DE82" w14:textId="77777777" w:rsidR="00137D90" w:rsidRDefault="00137D90" w:rsidP="009C1E9A">
          <w:pPr>
            <w:pStyle w:val="Footer"/>
            <w:tabs>
              <w:tab w:val="clear" w:pos="8640"/>
              <w:tab w:val="right" w:pos="9360"/>
            </w:tabs>
            <w:jc w:val="right"/>
          </w:pPr>
        </w:p>
      </w:tc>
    </w:tr>
    <w:tr w:rsidR="00AC58E4" w14:paraId="14D216D9" w14:textId="77777777" w:rsidTr="009C1E9A">
      <w:trPr>
        <w:cantSplit/>
      </w:trPr>
      <w:tc>
        <w:tcPr>
          <w:tcW w:w="0" w:type="pct"/>
        </w:tcPr>
        <w:p w14:paraId="3186DFC9" w14:textId="77777777" w:rsidR="00EC379B" w:rsidRDefault="00EC379B" w:rsidP="009C1E9A">
          <w:pPr>
            <w:pStyle w:val="Footer"/>
            <w:tabs>
              <w:tab w:val="clear" w:pos="8640"/>
              <w:tab w:val="right" w:pos="9360"/>
            </w:tabs>
          </w:pPr>
        </w:p>
      </w:tc>
      <w:tc>
        <w:tcPr>
          <w:tcW w:w="2395" w:type="pct"/>
        </w:tcPr>
        <w:p w14:paraId="1E44012E" w14:textId="7AC451E7" w:rsidR="00EC379B" w:rsidRPr="009C1E9A" w:rsidRDefault="002D1968" w:rsidP="009C1E9A">
          <w:pPr>
            <w:pStyle w:val="Footer"/>
            <w:tabs>
              <w:tab w:val="clear" w:pos="8640"/>
              <w:tab w:val="right" w:pos="9360"/>
            </w:tabs>
            <w:rPr>
              <w:rFonts w:ascii="Shruti" w:hAnsi="Shruti"/>
              <w:sz w:val="22"/>
            </w:rPr>
          </w:pPr>
          <w:r>
            <w:rPr>
              <w:rFonts w:ascii="Shruti" w:hAnsi="Shruti"/>
              <w:sz w:val="22"/>
            </w:rPr>
            <w:t>87R 24022</w:t>
          </w:r>
        </w:p>
      </w:tc>
      <w:tc>
        <w:tcPr>
          <w:tcW w:w="2453" w:type="pct"/>
        </w:tcPr>
        <w:p w14:paraId="31EE0F6A" w14:textId="61CACFE2" w:rsidR="00EC379B" w:rsidRDefault="002D1968" w:rsidP="009C1E9A">
          <w:pPr>
            <w:pStyle w:val="Footer"/>
            <w:tabs>
              <w:tab w:val="clear" w:pos="8640"/>
              <w:tab w:val="right" w:pos="9360"/>
            </w:tabs>
            <w:jc w:val="right"/>
          </w:pPr>
          <w:r>
            <w:fldChar w:fldCharType="begin"/>
          </w:r>
          <w:r>
            <w:instrText xml:space="preserve"> DOCPROPERTY  OTID  \* MERGEFORMAT </w:instrText>
          </w:r>
          <w:r>
            <w:fldChar w:fldCharType="separate"/>
          </w:r>
          <w:r w:rsidR="00F279A6">
            <w:t>21.120.1194</w:t>
          </w:r>
          <w:r>
            <w:fldChar w:fldCharType="end"/>
          </w:r>
        </w:p>
      </w:tc>
    </w:tr>
    <w:tr w:rsidR="00AC58E4" w14:paraId="4B95AFFE" w14:textId="77777777" w:rsidTr="009C1E9A">
      <w:trPr>
        <w:cantSplit/>
      </w:trPr>
      <w:tc>
        <w:tcPr>
          <w:tcW w:w="0" w:type="pct"/>
        </w:tcPr>
        <w:p w14:paraId="5AC3454B" w14:textId="77777777" w:rsidR="00EC379B" w:rsidRDefault="00EC379B" w:rsidP="009C1E9A">
          <w:pPr>
            <w:pStyle w:val="Footer"/>
            <w:tabs>
              <w:tab w:val="clear" w:pos="4320"/>
              <w:tab w:val="clear" w:pos="8640"/>
              <w:tab w:val="left" w:pos="2865"/>
            </w:tabs>
          </w:pPr>
        </w:p>
      </w:tc>
      <w:tc>
        <w:tcPr>
          <w:tcW w:w="2395" w:type="pct"/>
        </w:tcPr>
        <w:p w14:paraId="10462C82" w14:textId="71E9A959" w:rsidR="00EC379B" w:rsidRPr="009C1E9A" w:rsidRDefault="002D1968" w:rsidP="009C1E9A">
          <w:pPr>
            <w:pStyle w:val="Footer"/>
            <w:tabs>
              <w:tab w:val="clear" w:pos="4320"/>
              <w:tab w:val="clear" w:pos="8640"/>
              <w:tab w:val="left" w:pos="2865"/>
            </w:tabs>
            <w:rPr>
              <w:rFonts w:ascii="Shruti" w:hAnsi="Shruti"/>
              <w:sz w:val="22"/>
            </w:rPr>
          </w:pPr>
          <w:r>
            <w:rPr>
              <w:rFonts w:ascii="Shruti" w:hAnsi="Shruti"/>
              <w:sz w:val="22"/>
            </w:rPr>
            <w:t>Substitute Document Number: 87R 23357</w:t>
          </w:r>
        </w:p>
      </w:tc>
      <w:tc>
        <w:tcPr>
          <w:tcW w:w="2453" w:type="pct"/>
        </w:tcPr>
        <w:p w14:paraId="6F263E08" w14:textId="77777777" w:rsidR="00EC379B" w:rsidRDefault="00EC379B" w:rsidP="006D504F">
          <w:pPr>
            <w:pStyle w:val="Footer"/>
            <w:rPr>
              <w:rStyle w:val="PageNumber"/>
            </w:rPr>
          </w:pPr>
        </w:p>
        <w:p w14:paraId="2926ABB3" w14:textId="77777777" w:rsidR="00EC379B" w:rsidRDefault="00EC379B" w:rsidP="009C1E9A">
          <w:pPr>
            <w:pStyle w:val="Footer"/>
            <w:tabs>
              <w:tab w:val="clear" w:pos="8640"/>
              <w:tab w:val="right" w:pos="9360"/>
            </w:tabs>
            <w:jc w:val="right"/>
          </w:pPr>
        </w:p>
      </w:tc>
    </w:tr>
    <w:tr w:rsidR="00AC58E4" w14:paraId="7C751B81" w14:textId="77777777" w:rsidTr="009C1E9A">
      <w:trPr>
        <w:cantSplit/>
        <w:trHeight w:val="323"/>
      </w:trPr>
      <w:tc>
        <w:tcPr>
          <w:tcW w:w="0" w:type="pct"/>
          <w:gridSpan w:val="3"/>
        </w:tcPr>
        <w:p w14:paraId="488D856E" w14:textId="27DDE17C" w:rsidR="00EC379B" w:rsidRDefault="002D1968"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B386F">
            <w:rPr>
              <w:rStyle w:val="PageNumber"/>
              <w:noProof/>
            </w:rPr>
            <w:t>2</w:t>
          </w:r>
          <w:r>
            <w:rPr>
              <w:rStyle w:val="PageNumber"/>
            </w:rPr>
            <w:fldChar w:fldCharType="end"/>
          </w:r>
        </w:p>
        <w:p w14:paraId="7844A4D9" w14:textId="77777777" w:rsidR="00EC379B" w:rsidRDefault="00EC379B" w:rsidP="009C1E9A">
          <w:pPr>
            <w:pStyle w:val="Footer"/>
            <w:tabs>
              <w:tab w:val="clear" w:pos="8640"/>
              <w:tab w:val="right" w:pos="9360"/>
            </w:tabs>
            <w:jc w:val="center"/>
          </w:pPr>
        </w:p>
      </w:tc>
    </w:tr>
  </w:tbl>
  <w:p w14:paraId="33AD1BAD"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700D8" w14:textId="77777777" w:rsidR="00594201" w:rsidRDefault="005942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DE3ABC" w14:textId="77777777" w:rsidR="00000000" w:rsidRDefault="002D1968">
      <w:r>
        <w:separator/>
      </w:r>
    </w:p>
  </w:footnote>
  <w:footnote w:type="continuationSeparator" w:id="0">
    <w:p w14:paraId="384BFCB3" w14:textId="77777777" w:rsidR="00000000" w:rsidRDefault="002D1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73B69" w14:textId="77777777" w:rsidR="00594201" w:rsidRDefault="005942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73D01" w14:textId="77777777" w:rsidR="00594201" w:rsidRDefault="005942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6A59D" w14:textId="77777777" w:rsidR="00594201" w:rsidRDefault="005942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D2018"/>
    <w:multiLevelType w:val="hybridMultilevel"/>
    <w:tmpl w:val="C096C060"/>
    <w:lvl w:ilvl="0" w:tplc="6C1C114A">
      <w:start w:val="1"/>
      <w:numFmt w:val="bullet"/>
      <w:lvlText w:val=""/>
      <w:lvlJc w:val="left"/>
      <w:pPr>
        <w:tabs>
          <w:tab w:val="num" w:pos="720"/>
        </w:tabs>
        <w:ind w:left="720" w:hanging="360"/>
      </w:pPr>
      <w:rPr>
        <w:rFonts w:ascii="Symbol" w:hAnsi="Symbol" w:hint="default"/>
      </w:rPr>
    </w:lvl>
    <w:lvl w:ilvl="1" w:tplc="999674A4" w:tentative="1">
      <w:start w:val="1"/>
      <w:numFmt w:val="bullet"/>
      <w:lvlText w:val="o"/>
      <w:lvlJc w:val="left"/>
      <w:pPr>
        <w:ind w:left="1440" w:hanging="360"/>
      </w:pPr>
      <w:rPr>
        <w:rFonts w:ascii="Courier New" w:hAnsi="Courier New" w:cs="Courier New" w:hint="default"/>
      </w:rPr>
    </w:lvl>
    <w:lvl w:ilvl="2" w:tplc="29667D22" w:tentative="1">
      <w:start w:val="1"/>
      <w:numFmt w:val="bullet"/>
      <w:lvlText w:val=""/>
      <w:lvlJc w:val="left"/>
      <w:pPr>
        <w:ind w:left="2160" w:hanging="360"/>
      </w:pPr>
      <w:rPr>
        <w:rFonts w:ascii="Wingdings" w:hAnsi="Wingdings" w:hint="default"/>
      </w:rPr>
    </w:lvl>
    <w:lvl w:ilvl="3" w:tplc="110AFCDA" w:tentative="1">
      <w:start w:val="1"/>
      <w:numFmt w:val="bullet"/>
      <w:lvlText w:val=""/>
      <w:lvlJc w:val="left"/>
      <w:pPr>
        <w:ind w:left="2880" w:hanging="360"/>
      </w:pPr>
      <w:rPr>
        <w:rFonts w:ascii="Symbol" w:hAnsi="Symbol" w:hint="default"/>
      </w:rPr>
    </w:lvl>
    <w:lvl w:ilvl="4" w:tplc="D99CEC2E" w:tentative="1">
      <w:start w:val="1"/>
      <w:numFmt w:val="bullet"/>
      <w:lvlText w:val="o"/>
      <w:lvlJc w:val="left"/>
      <w:pPr>
        <w:ind w:left="3600" w:hanging="360"/>
      </w:pPr>
      <w:rPr>
        <w:rFonts w:ascii="Courier New" w:hAnsi="Courier New" w:cs="Courier New" w:hint="default"/>
      </w:rPr>
    </w:lvl>
    <w:lvl w:ilvl="5" w:tplc="557290A8" w:tentative="1">
      <w:start w:val="1"/>
      <w:numFmt w:val="bullet"/>
      <w:lvlText w:val=""/>
      <w:lvlJc w:val="left"/>
      <w:pPr>
        <w:ind w:left="4320" w:hanging="360"/>
      </w:pPr>
      <w:rPr>
        <w:rFonts w:ascii="Wingdings" w:hAnsi="Wingdings" w:hint="default"/>
      </w:rPr>
    </w:lvl>
    <w:lvl w:ilvl="6" w:tplc="0F5EF73E" w:tentative="1">
      <w:start w:val="1"/>
      <w:numFmt w:val="bullet"/>
      <w:lvlText w:val=""/>
      <w:lvlJc w:val="left"/>
      <w:pPr>
        <w:ind w:left="5040" w:hanging="360"/>
      </w:pPr>
      <w:rPr>
        <w:rFonts w:ascii="Symbol" w:hAnsi="Symbol" w:hint="default"/>
      </w:rPr>
    </w:lvl>
    <w:lvl w:ilvl="7" w:tplc="CBA86846" w:tentative="1">
      <w:start w:val="1"/>
      <w:numFmt w:val="bullet"/>
      <w:lvlText w:val="o"/>
      <w:lvlJc w:val="left"/>
      <w:pPr>
        <w:ind w:left="5760" w:hanging="360"/>
      </w:pPr>
      <w:rPr>
        <w:rFonts w:ascii="Courier New" w:hAnsi="Courier New" w:cs="Courier New" w:hint="default"/>
      </w:rPr>
    </w:lvl>
    <w:lvl w:ilvl="8" w:tplc="C532B604" w:tentative="1">
      <w:start w:val="1"/>
      <w:numFmt w:val="bullet"/>
      <w:lvlText w:val=""/>
      <w:lvlJc w:val="left"/>
      <w:pPr>
        <w:ind w:left="6480" w:hanging="360"/>
      </w:pPr>
      <w:rPr>
        <w:rFonts w:ascii="Wingdings" w:hAnsi="Wingdings" w:hint="default"/>
      </w:rPr>
    </w:lvl>
  </w:abstractNum>
  <w:abstractNum w:abstractNumId="1" w15:restartNumberingAfterBreak="0">
    <w:nsid w:val="1CED5C1A"/>
    <w:multiLevelType w:val="hybridMultilevel"/>
    <w:tmpl w:val="17E4FF4C"/>
    <w:lvl w:ilvl="0" w:tplc="2AC8B4DE">
      <w:start w:val="1"/>
      <w:numFmt w:val="bullet"/>
      <w:lvlText w:val=""/>
      <w:lvlJc w:val="left"/>
      <w:pPr>
        <w:tabs>
          <w:tab w:val="num" w:pos="720"/>
        </w:tabs>
        <w:ind w:left="720" w:hanging="360"/>
      </w:pPr>
      <w:rPr>
        <w:rFonts w:ascii="Symbol" w:hAnsi="Symbol" w:hint="default"/>
      </w:rPr>
    </w:lvl>
    <w:lvl w:ilvl="1" w:tplc="53681A1E" w:tentative="1">
      <w:start w:val="1"/>
      <w:numFmt w:val="bullet"/>
      <w:lvlText w:val="o"/>
      <w:lvlJc w:val="left"/>
      <w:pPr>
        <w:ind w:left="1440" w:hanging="360"/>
      </w:pPr>
      <w:rPr>
        <w:rFonts w:ascii="Courier New" w:hAnsi="Courier New" w:cs="Courier New" w:hint="default"/>
      </w:rPr>
    </w:lvl>
    <w:lvl w:ilvl="2" w:tplc="50AA1DFE" w:tentative="1">
      <w:start w:val="1"/>
      <w:numFmt w:val="bullet"/>
      <w:lvlText w:val=""/>
      <w:lvlJc w:val="left"/>
      <w:pPr>
        <w:ind w:left="2160" w:hanging="360"/>
      </w:pPr>
      <w:rPr>
        <w:rFonts w:ascii="Wingdings" w:hAnsi="Wingdings" w:hint="default"/>
      </w:rPr>
    </w:lvl>
    <w:lvl w:ilvl="3" w:tplc="13702440" w:tentative="1">
      <w:start w:val="1"/>
      <w:numFmt w:val="bullet"/>
      <w:lvlText w:val=""/>
      <w:lvlJc w:val="left"/>
      <w:pPr>
        <w:ind w:left="2880" w:hanging="360"/>
      </w:pPr>
      <w:rPr>
        <w:rFonts w:ascii="Symbol" w:hAnsi="Symbol" w:hint="default"/>
      </w:rPr>
    </w:lvl>
    <w:lvl w:ilvl="4" w:tplc="F1923714" w:tentative="1">
      <w:start w:val="1"/>
      <w:numFmt w:val="bullet"/>
      <w:lvlText w:val="o"/>
      <w:lvlJc w:val="left"/>
      <w:pPr>
        <w:ind w:left="3600" w:hanging="360"/>
      </w:pPr>
      <w:rPr>
        <w:rFonts w:ascii="Courier New" w:hAnsi="Courier New" w:cs="Courier New" w:hint="default"/>
      </w:rPr>
    </w:lvl>
    <w:lvl w:ilvl="5" w:tplc="6B24A226" w:tentative="1">
      <w:start w:val="1"/>
      <w:numFmt w:val="bullet"/>
      <w:lvlText w:val=""/>
      <w:lvlJc w:val="left"/>
      <w:pPr>
        <w:ind w:left="4320" w:hanging="360"/>
      </w:pPr>
      <w:rPr>
        <w:rFonts w:ascii="Wingdings" w:hAnsi="Wingdings" w:hint="default"/>
      </w:rPr>
    </w:lvl>
    <w:lvl w:ilvl="6" w:tplc="25B4F118" w:tentative="1">
      <w:start w:val="1"/>
      <w:numFmt w:val="bullet"/>
      <w:lvlText w:val=""/>
      <w:lvlJc w:val="left"/>
      <w:pPr>
        <w:ind w:left="5040" w:hanging="360"/>
      </w:pPr>
      <w:rPr>
        <w:rFonts w:ascii="Symbol" w:hAnsi="Symbol" w:hint="default"/>
      </w:rPr>
    </w:lvl>
    <w:lvl w:ilvl="7" w:tplc="F04A0766" w:tentative="1">
      <w:start w:val="1"/>
      <w:numFmt w:val="bullet"/>
      <w:lvlText w:val="o"/>
      <w:lvlJc w:val="left"/>
      <w:pPr>
        <w:ind w:left="5760" w:hanging="360"/>
      </w:pPr>
      <w:rPr>
        <w:rFonts w:ascii="Courier New" w:hAnsi="Courier New" w:cs="Courier New" w:hint="default"/>
      </w:rPr>
    </w:lvl>
    <w:lvl w:ilvl="8" w:tplc="2B7C9C5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BE5"/>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6669"/>
    <w:rsid w:val="000A72C4"/>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371B"/>
    <w:rsid w:val="001245C8"/>
    <w:rsid w:val="00124653"/>
    <w:rsid w:val="001247C5"/>
    <w:rsid w:val="00127893"/>
    <w:rsid w:val="001312BB"/>
    <w:rsid w:val="00137D90"/>
    <w:rsid w:val="00141FB6"/>
    <w:rsid w:val="00142F8E"/>
    <w:rsid w:val="00143C8B"/>
    <w:rsid w:val="00147530"/>
    <w:rsid w:val="0015331F"/>
    <w:rsid w:val="00154F1D"/>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B03"/>
    <w:rsid w:val="00185C59"/>
    <w:rsid w:val="00185F1C"/>
    <w:rsid w:val="00187A52"/>
    <w:rsid w:val="00187C1B"/>
    <w:rsid w:val="001908AC"/>
    <w:rsid w:val="00190CFB"/>
    <w:rsid w:val="0019457A"/>
    <w:rsid w:val="00195257"/>
    <w:rsid w:val="00195388"/>
    <w:rsid w:val="0019539E"/>
    <w:rsid w:val="001967E5"/>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D6AC9"/>
    <w:rsid w:val="001E2CAD"/>
    <w:rsid w:val="001E34DB"/>
    <w:rsid w:val="001E37CD"/>
    <w:rsid w:val="001E4070"/>
    <w:rsid w:val="001E655E"/>
    <w:rsid w:val="001F3CB8"/>
    <w:rsid w:val="001F6B91"/>
    <w:rsid w:val="001F703C"/>
    <w:rsid w:val="00200B9E"/>
    <w:rsid w:val="00200BF5"/>
    <w:rsid w:val="002010D1"/>
    <w:rsid w:val="00201338"/>
    <w:rsid w:val="0020775D"/>
    <w:rsid w:val="00207999"/>
    <w:rsid w:val="002116DD"/>
    <w:rsid w:val="0021383D"/>
    <w:rsid w:val="00216BBA"/>
    <w:rsid w:val="00216E12"/>
    <w:rsid w:val="00217466"/>
    <w:rsid w:val="0021751D"/>
    <w:rsid w:val="00217C49"/>
    <w:rsid w:val="0022177D"/>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1968"/>
    <w:rsid w:val="002D305A"/>
    <w:rsid w:val="002E21B8"/>
    <w:rsid w:val="002E7DF9"/>
    <w:rsid w:val="002F097B"/>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7CA1"/>
    <w:rsid w:val="00361FE9"/>
    <w:rsid w:val="003624F2"/>
    <w:rsid w:val="00363854"/>
    <w:rsid w:val="00364315"/>
    <w:rsid w:val="003643E2"/>
    <w:rsid w:val="00370155"/>
    <w:rsid w:val="003712D5"/>
    <w:rsid w:val="00373630"/>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5EE"/>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41AA"/>
    <w:rsid w:val="0042422E"/>
    <w:rsid w:val="004302D3"/>
    <w:rsid w:val="0043190E"/>
    <w:rsid w:val="004324E9"/>
    <w:rsid w:val="004350F3"/>
    <w:rsid w:val="00436980"/>
    <w:rsid w:val="00441016"/>
    <w:rsid w:val="00441F2F"/>
    <w:rsid w:val="0044228B"/>
    <w:rsid w:val="00447018"/>
    <w:rsid w:val="00450561"/>
    <w:rsid w:val="00450A40"/>
    <w:rsid w:val="00451D7C"/>
    <w:rsid w:val="00452FC3"/>
    <w:rsid w:val="00455936"/>
    <w:rsid w:val="00455ACE"/>
    <w:rsid w:val="00461B69"/>
    <w:rsid w:val="00462B3D"/>
    <w:rsid w:val="004656B0"/>
    <w:rsid w:val="00474927"/>
    <w:rsid w:val="00475913"/>
    <w:rsid w:val="00480080"/>
    <w:rsid w:val="004824A7"/>
    <w:rsid w:val="00483AF0"/>
    <w:rsid w:val="00484167"/>
    <w:rsid w:val="00492211"/>
    <w:rsid w:val="00492325"/>
    <w:rsid w:val="00492A6D"/>
    <w:rsid w:val="00494303"/>
    <w:rsid w:val="0049682B"/>
    <w:rsid w:val="004A03F7"/>
    <w:rsid w:val="004A081C"/>
    <w:rsid w:val="004A123F"/>
    <w:rsid w:val="004A2172"/>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3F"/>
    <w:rsid w:val="00561B14"/>
    <w:rsid w:val="00562C87"/>
    <w:rsid w:val="005636BD"/>
    <w:rsid w:val="005666D5"/>
    <w:rsid w:val="005669A7"/>
    <w:rsid w:val="00573401"/>
    <w:rsid w:val="00576714"/>
    <w:rsid w:val="0057685A"/>
    <w:rsid w:val="005847EF"/>
    <w:rsid w:val="005851E6"/>
    <w:rsid w:val="005878B7"/>
    <w:rsid w:val="00587EC8"/>
    <w:rsid w:val="00592C9A"/>
    <w:rsid w:val="00593DF8"/>
    <w:rsid w:val="00594201"/>
    <w:rsid w:val="00595745"/>
    <w:rsid w:val="005A0E18"/>
    <w:rsid w:val="005A12A5"/>
    <w:rsid w:val="005A3790"/>
    <w:rsid w:val="005A3CCB"/>
    <w:rsid w:val="005A6D13"/>
    <w:rsid w:val="005B031F"/>
    <w:rsid w:val="005B3298"/>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334D7"/>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77C54"/>
    <w:rsid w:val="0068127E"/>
    <w:rsid w:val="00681790"/>
    <w:rsid w:val="006823AA"/>
    <w:rsid w:val="00684B98"/>
    <w:rsid w:val="00685DC9"/>
    <w:rsid w:val="00687465"/>
    <w:rsid w:val="006907CF"/>
    <w:rsid w:val="00691CCF"/>
    <w:rsid w:val="00693AFA"/>
    <w:rsid w:val="00695101"/>
    <w:rsid w:val="00695B9A"/>
    <w:rsid w:val="00696563"/>
    <w:rsid w:val="006979F8"/>
    <w:rsid w:val="006A6068"/>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0BE5"/>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643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5402"/>
    <w:rsid w:val="0080765F"/>
    <w:rsid w:val="00811BEA"/>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680A"/>
    <w:rsid w:val="008806EB"/>
    <w:rsid w:val="008826F2"/>
    <w:rsid w:val="008845BA"/>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7785"/>
    <w:rsid w:val="008C0809"/>
    <w:rsid w:val="008C132C"/>
    <w:rsid w:val="008C22B4"/>
    <w:rsid w:val="008C3FD0"/>
    <w:rsid w:val="008D27A5"/>
    <w:rsid w:val="008D2AAB"/>
    <w:rsid w:val="008D309C"/>
    <w:rsid w:val="008D58F9"/>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C77"/>
    <w:rsid w:val="0093417F"/>
    <w:rsid w:val="00934AC2"/>
    <w:rsid w:val="009375BB"/>
    <w:rsid w:val="009418E9"/>
    <w:rsid w:val="00946044"/>
    <w:rsid w:val="009465AB"/>
    <w:rsid w:val="00946DEE"/>
    <w:rsid w:val="00953499"/>
    <w:rsid w:val="00954A16"/>
    <w:rsid w:val="0095696D"/>
    <w:rsid w:val="00957B73"/>
    <w:rsid w:val="00957BB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EB0"/>
    <w:rsid w:val="009F4F2B"/>
    <w:rsid w:val="009F513E"/>
    <w:rsid w:val="009F5802"/>
    <w:rsid w:val="009F64AE"/>
    <w:rsid w:val="00A0042D"/>
    <w:rsid w:val="00A0053A"/>
    <w:rsid w:val="00A00C33"/>
    <w:rsid w:val="00A01103"/>
    <w:rsid w:val="00A012C0"/>
    <w:rsid w:val="00A014BB"/>
    <w:rsid w:val="00A01E10"/>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344D"/>
    <w:rsid w:val="00A644B8"/>
    <w:rsid w:val="00A70E35"/>
    <w:rsid w:val="00A720DC"/>
    <w:rsid w:val="00A803CF"/>
    <w:rsid w:val="00A8133F"/>
    <w:rsid w:val="00A82CB4"/>
    <w:rsid w:val="00A837A8"/>
    <w:rsid w:val="00A83C36"/>
    <w:rsid w:val="00A932BB"/>
    <w:rsid w:val="00A93579"/>
    <w:rsid w:val="00A93934"/>
    <w:rsid w:val="00A94313"/>
    <w:rsid w:val="00A95D51"/>
    <w:rsid w:val="00AA18AE"/>
    <w:rsid w:val="00AA228B"/>
    <w:rsid w:val="00AA597A"/>
    <w:rsid w:val="00AA7E52"/>
    <w:rsid w:val="00AB1655"/>
    <w:rsid w:val="00AB1873"/>
    <w:rsid w:val="00AB2C05"/>
    <w:rsid w:val="00AB3536"/>
    <w:rsid w:val="00AB474B"/>
    <w:rsid w:val="00AB5CCC"/>
    <w:rsid w:val="00AB74E2"/>
    <w:rsid w:val="00AC2E9A"/>
    <w:rsid w:val="00AC58E4"/>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8E1"/>
    <w:rsid w:val="00BC59CA"/>
    <w:rsid w:val="00BC6462"/>
    <w:rsid w:val="00BD0A32"/>
    <w:rsid w:val="00BD4E55"/>
    <w:rsid w:val="00BD513B"/>
    <w:rsid w:val="00BD5E52"/>
    <w:rsid w:val="00BE00CD"/>
    <w:rsid w:val="00BE0E75"/>
    <w:rsid w:val="00BE1789"/>
    <w:rsid w:val="00BE27D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7E00"/>
    <w:rsid w:val="00DA00BC"/>
    <w:rsid w:val="00DA0E22"/>
    <w:rsid w:val="00DA1EFA"/>
    <w:rsid w:val="00DA25E7"/>
    <w:rsid w:val="00DA3687"/>
    <w:rsid w:val="00DA39F2"/>
    <w:rsid w:val="00DA564B"/>
    <w:rsid w:val="00DA6A5C"/>
    <w:rsid w:val="00DB311F"/>
    <w:rsid w:val="00DB386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97037"/>
    <w:rsid w:val="00EA16AC"/>
    <w:rsid w:val="00EA385A"/>
    <w:rsid w:val="00EA3931"/>
    <w:rsid w:val="00EA658E"/>
    <w:rsid w:val="00EA7A88"/>
    <w:rsid w:val="00EB27F2"/>
    <w:rsid w:val="00EB3928"/>
    <w:rsid w:val="00EB5373"/>
    <w:rsid w:val="00EC02A2"/>
    <w:rsid w:val="00EC379B"/>
    <w:rsid w:val="00EC37DF"/>
    <w:rsid w:val="00EC41B1"/>
    <w:rsid w:val="00ED0665"/>
    <w:rsid w:val="00ED12C0"/>
    <w:rsid w:val="00ED19F0"/>
    <w:rsid w:val="00ED2B50"/>
    <w:rsid w:val="00ED3A32"/>
    <w:rsid w:val="00ED3BDE"/>
    <w:rsid w:val="00ED68FB"/>
    <w:rsid w:val="00ED783A"/>
    <w:rsid w:val="00EE2E34"/>
    <w:rsid w:val="00EE2E91"/>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C2"/>
    <w:rsid w:val="00F27573"/>
    <w:rsid w:val="00F279A6"/>
    <w:rsid w:val="00F31876"/>
    <w:rsid w:val="00F31C67"/>
    <w:rsid w:val="00F36FE0"/>
    <w:rsid w:val="00F37EA8"/>
    <w:rsid w:val="00F40B14"/>
    <w:rsid w:val="00F41186"/>
    <w:rsid w:val="00F41EEF"/>
    <w:rsid w:val="00F41FAC"/>
    <w:rsid w:val="00F423D3"/>
    <w:rsid w:val="00F44349"/>
    <w:rsid w:val="00F4569E"/>
    <w:rsid w:val="00F45AFC"/>
    <w:rsid w:val="00F462F4"/>
    <w:rsid w:val="00F50130"/>
    <w:rsid w:val="00F52402"/>
    <w:rsid w:val="00F5605D"/>
    <w:rsid w:val="00F6514B"/>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132A8B6-B47F-4D77-AA93-08FC1F21E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750BE5"/>
    <w:rPr>
      <w:sz w:val="16"/>
      <w:szCs w:val="16"/>
    </w:rPr>
  </w:style>
  <w:style w:type="paragraph" w:styleId="CommentText">
    <w:name w:val="annotation text"/>
    <w:basedOn w:val="Normal"/>
    <w:link w:val="CommentTextChar"/>
    <w:semiHidden/>
    <w:unhideWhenUsed/>
    <w:rsid w:val="00750BE5"/>
    <w:rPr>
      <w:sz w:val="20"/>
      <w:szCs w:val="20"/>
    </w:rPr>
  </w:style>
  <w:style w:type="character" w:customStyle="1" w:styleId="CommentTextChar">
    <w:name w:val="Comment Text Char"/>
    <w:basedOn w:val="DefaultParagraphFont"/>
    <w:link w:val="CommentText"/>
    <w:semiHidden/>
    <w:rsid w:val="00750BE5"/>
  </w:style>
  <w:style w:type="paragraph" w:styleId="CommentSubject">
    <w:name w:val="annotation subject"/>
    <w:basedOn w:val="CommentText"/>
    <w:next w:val="CommentText"/>
    <w:link w:val="CommentSubjectChar"/>
    <w:semiHidden/>
    <w:unhideWhenUsed/>
    <w:rsid w:val="00750BE5"/>
    <w:rPr>
      <w:b/>
      <w:bCs/>
    </w:rPr>
  </w:style>
  <w:style w:type="character" w:customStyle="1" w:styleId="CommentSubjectChar">
    <w:name w:val="Comment Subject Char"/>
    <w:basedOn w:val="CommentTextChar"/>
    <w:link w:val="CommentSubject"/>
    <w:semiHidden/>
    <w:rsid w:val="00750B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932</Words>
  <Characters>5151</Characters>
  <Application>Microsoft Office Word</Application>
  <DocSecurity>4</DocSecurity>
  <Lines>110</Lines>
  <Paragraphs>33</Paragraphs>
  <ScaleCrop>false</ScaleCrop>
  <HeadingPairs>
    <vt:vector size="2" baseType="variant">
      <vt:variant>
        <vt:lpstr>Title</vt:lpstr>
      </vt:variant>
      <vt:variant>
        <vt:i4>1</vt:i4>
      </vt:variant>
    </vt:vector>
  </HeadingPairs>
  <TitlesOfParts>
    <vt:vector size="1" baseType="lpstr">
      <vt:lpstr>BA - HB04294 (Committee Report (Substituted))</vt:lpstr>
    </vt:vector>
  </TitlesOfParts>
  <Company>State of Texas</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87R 24022</dc:subject>
  <dc:creator>State of Texas</dc:creator>
  <dc:description>HB 4294 by Metcalf-(H)House Administration (Substitute Document Number: 87R 23357)</dc:description>
  <cp:lastModifiedBy>Stacey Nicchio</cp:lastModifiedBy>
  <cp:revision>2</cp:revision>
  <cp:lastPrinted>2003-11-26T17:21:00Z</cp:lastPrinted>
  <dcterms:created xsi:type="dcterms:W3CDTF">2021-04-30T20:50:00Z</dcterms:created>
  <dcterms:modified xsi:type="dcterms:W3CDTF">2021-04-30T20:50:00Z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21.120.1194</vt:lpwstr>
  </property>
</Properties>
</file>