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F7680" w14:paraId="0DEEF1E0" w14:textId="77777777" w:rsidTr="00345119">
        <w:tc>
          <w:tcPr>
            <w:tcW w:w="9576" w:type="dxa"/>
            <w:noWrap/>
          </w:tcPr>
          <w:p w14:paraId="2EEE7AEF" w14:textId="77777777" w:rsidR="008423E4" w:rsidRPr="0022177D" w:rsidRDefault="008B7C01" w:rsidP="00765D9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2C1EA0E" w14:textId="77777777" w:rsidR="008423E4" w:rsidRPr="0022177D" w:rsidRDefault="008423E4" w:rsidP="00765D90">
      <w:pPr>
        <w:jc w:val="center"/>
      </w:pPr>
    </w:p>
    <w:p w14:paraId="043CE019" w14:textId="77777777" w:rsidR="008423E4" w:rsidRPr="00B31F0E" w:rsidRDefault="008423E4" w:rsidP="00765D90"/>
    <w:p w14:paraId="2E6DDDB9" w14:textId="77777777" w:rsidR="008423E4" w:rsidRPr="00742794" w:rsidRDefault="008423E4" w:rsidP="00765D9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7680" w14:paraId="712F13DB" w14:textId="77777777" w:rsidTr="00345119">
        <w:tc>
          <w:tcPr>
            <w:tcW w:w="9576" w:type="dxa"/>
          </w:tcPr>
          <w:p w14:paraId="47DFD65A" w14:textId="77777777" w:rsidR="008423E4" w:rsidRPr="00861995" w:rsidRDefault="008B7C01" w:rsidP="00765D90">
            <w:pPr>
              <w:jc w:val="right"/>
            </w:pPr>
            <w:r>
              <w:t>C.S.H.B. 4387</w:t>
            </w:r>
          </w:p>
        </w:tc>
      </w:tr>
      <w:tr w:rsidR="004F7680" w14:paraId="14B21881" w14:textId="77777777" w:rsidTr="00345119">
        <w:tc>
          <w:tcPr>
            <w:tcW w:w="9576" w:type="dxa"/>
          </w:tcPr>
          <w:p w14:paraId="3619BE9B" w14:textId="77777777" w:rsidR="008423E4" w:rsidRPr="00861995" w:rsidRDefault="008B7C01" w:rsidP="00765D90">
            <w:pPr>
              <w:jc w:val="right"/>
            </w:pPr>
            <w:r>
              <w:t xml:space="preserve">By: </w:t>
            </w:r>
            <w:r w:rsidR="00E33554">
              <w:t>González, Mary</w:t>
            </w:r>
          </w:p>
        </w:tc>
      </w:tr>
      <w:tr w:rsidR="004F7680" w14:paraId="5946091D" w14:textId="77777777" w:rsidTr="00345119">
        <w:tc>
          <w:tcPr>
            <w:tcW w:w="9576" w:type="dxa"/>
          </w:tcPr>
          <w:p w14:paraId="0F62B853" w14:textId="77777777" w:rsidR="008423E4" w:rsidRPr="00861995" w:rsidRDefault="008B7C01" w:rsidP="00765D90">
            <w:pPr>
              <w:jc w:val="right"/>
            </w:pPr>
            <w:r>
              <w:t>Higher Education</w:t>
            </w:r>
          </w:p>
        </w:tc>
      </w:tr>
      <w:tr w:rsidR="004F7680" w14:paraId="042E6F9B" w14:textId="77777777" w:rsidTr="00345119">
        <w:tc>
          <w:tcPr>
            <w:tcW w:w="9576" w:type="dxa"/>
          </w:tcPr>
          <w:p w14:paraId="6ED889E1" w14:textId="77777777" w:rsidR="008423E4" w:rsidRDefault="008B7C01" w:rsidP="00765D90">
            <w:pPr>
              <w:jc w:val="right"/>
            </w:pPr>
            <w:r>
              <w:t>Committee Report (Substituted)</w:t>
            </w:r>
          </w:p>
        </w:tc>
      </w:tr>
    </w:tbl>
    <w:p w14:paraId="047C5252" w14:textId="77777777" w:rsidR="008423E4" w:rsidRDefault="008423E4" w:rsidP="00765D90">
      <w:pPr>
        <w:tabs>
          <w:tab w:val="right" w:pos="9360"/>
        </w:tabs>
      </w:pPr>
    </w:p>
    <w:p w14:paraId="306ED26E" w14:textId="77777777" w:rsidR="008423E4" w:rsidRDefault="008423E4" w:rsidP="00765D90"/>
    <w:p w14:paraId="268B9A1B" w14:textId="77777777" w:rsidR="008423E4" w:rsidRDefault="008423E4" w:rsidP="00765D9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F7680" w14:paraId="41F394E7" w14:textId="77777777" w:rsidTr="00345119">
        <w:tc>
          <w:tcPr>
            <w:tcW w:w="9576" w:type="dxa"/>
          </w:tcPr>
          <w:p w14:paraId="54A3D6F9" w14:textId="77777777" w:rsidR="008423E4" w:rsidRPr="00A8133F" w:rsidRDefault="008B7C01" w:rsidP="00765D9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C7AEE24" w14:textId="77777777" w:rsidR="008423E4" w:rsidRDefault="008423E4" w:rsidP="00765D90"/>
          <w:p w14:paraId="030EB333" w14:textId="52822874" w:rsidR="008423E4" w:rsidRDefault="008B7C01" w:rsidP="00765D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="00804F97">
              <w:t>oncern</w:t>
            </w:r>
            <w:r>
              <w:t>s have been expressed</w:t>
            </w:r>
            <w:r w:rsidR="00804F97">
              <w:t xml:space="preserve"> that </w:t>
            </w:r>
            <w:r w:rsidR="00400345">
              <w:t>some</w:t>
            </w:r>
            <w:r w:rsidR="004122A0">
              <w:t xml:space="preserve"> </w:t>
            </w:r>
            <w:r w:rsidR="00804F97">
              <w:t xml:space="preserve">students who transfer </w:t>
            </w:r>
            <w:r w:rsidR="00400345">
              <w:t>into certain</w:t>
            </w:r>
            <w:r w:rsidR="00804F97">
              <w:t xml:space="preserve"> </w:t>
            </w:r>
            <w:r w:rsidR="00400345">
              <w:t xml:space="preserve">public </w:t>
            </w:r>
            <w:r w:rsidR="00804F97">
              <w:t>institution</w:t>
            </w:r>
            <w:r w:rsidR="00400345">
              <w:t>s</w:t>
            </w:r>
            <w:r w:rsidR="004122A0">
              <w:t xml:space="preserve"> of higher education</w:t>
            </w:r>
            <w:r w:rsidR="00804F97">
              <w:t xml:space="preserve"> are unable to qualify for TEXAS </w:t>
            </w:r>
            <w:r>
              <w:t>g</w:t>
            </w:r>
            <w:r w:rsidR="00804F97">
              <w:t>rants</w:t>
            </w:r>
            <w:r>
              <w:t xml:space="preserve">, </w:t>
            </w:r>
            <w:r w:rsidR="00804F97">
              <w:t>even though they may be otherwise financially and academically eligible</w:t>
            </w:r>
            <w:r w:rsidR="00400345">
              <w:t xml:space="preserve"> for that aid</w:t>
            </w:r>
            <w:r w:rsidR="00804F97">
              <w:t xml:space="preserve">. </w:t>
            </w:r>
            <w:r>
              <w:t>C.S.</w:t>
            </w:r>
            <w:r w:rsidR="00804F97">
              <w:t>H</w:t>
            </w:r>
            <w:r>
              <w:t>.</w:t>
            </w:r>
            <w:r w:rsidR="00804F97">
              <w:t>B</w:t>
            </w:r>
            <w:r>
              <w:t>.</w:t>
            </w:r>
            <w:r w:rsidR="00804F97">
              <w:t xml:space="preserve"> 4387 </w:t>
            </w:r>
            <w:r>
              <w:t xml:space="preserve">establishes a pilot program to provide financial </w:t>
            </w:r>
            <w:r w:rsidR="00804F97">
              <w:t xml:space="preserve">assistance </w:t>
            </w:r>
            <w:r w:rsidR="004122A0">
              <w:t xml:space="preserve">in the form of grants specifically </w:t>
            </w:r>
            <w:r w:rsidR="00804F97">
              <w:t xml:space="preserve">to transfer students </w:t>
            </w:r>
            <w:r w:rsidR="004122A0">
              <w:t>enrolled in baccalaureate degree programs at eligible institutions</w:t>
            </w:r>
            <w:r>
              <w:t>.</w:t>
            </w:r>
          </w:p>
          <w:p w14:paraId="65FD5004" w14:textId="77777777" w:rsidR="008423E4" w:rsidRPr="00E26B13" w:rsidRDefault="008423E4" w:rsidP="00765D90">
            <w:pPr>
              <w:rPr>
                <w:b/>
              </w:rPr>
            </w:pPr>
          </w:p>
        </w:tc>
      </w:tr>
      <w:tr w:rsidR="004F7680" w14:paraId="70F346BB" w14:textId="77777777" w:rsidTr="00345119">
        <w:tc>
          <w:tcPr>
            <w:tcW w:w="9576" w:type="dxa"/>
          </w:tcPr>
          <w:p w14:paraId="38A43E88" w14:textId="77777777" w:rsidR="0017725B" w:rsidRDefault="008B7C01" w:rsidP="00765D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FFFAE5E" w14:textId="77777777" w:rsidR="0017725B" w:rsidRDefault="0017725B" w:rsidP="00765D90">
            <w:pPr>
              <w:rPr>
                <w:b/>
                <w:u w:val="single"/>
              </w:rPr>
            </w:pPr>
          </w:p>
          <w:p w14:paraId="5ED10026" w14:textId="77777777" w:rsidR="00804F97" w:rsidRPr="00804F97" w:rsidRDefault="008B7C01" w:rsidP="00765D9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14:paraId="12FF8DE5" w14:textId="77777777" w:rsidR="0017725B" w:rsidRPr="0017725B" w:rsidRDefault="0017725B" w:rsidP="00765D90">
            <w:pPr>
              <w:rPr>
                <w:b/>
                <w:u w:val="single"/>
              </w:rPr>
            </w:pPr>
          </w:p>
        </w:tc>
      </w:tr>
      <w:tr w:rsidR="004F7680" w14:paraId="20B19046" w14:textId="77777777" w:rsidTr="00345119">
        <w:tc>
          <w:tcPr>
            <w:tcW w:w="9576" w:type="dxa"/>
          </w:tcPr>
          <w:p w14:paraId="3FED6B25" w14:textId="77777777" w:rsidR="008423E4" w:rsidRPr="00A8133F" w:rsidRDefault="008B7C01" w:rsidP="00765D9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23443FC" w14:textId="77777777" w:rsidR="008423E4" w:rsidRDefault="008423E4" w:rsidP="00765D90"/>
          <w:p w14:paraId="7A20D058" w14:textId="77777777" w:rsidR="00804F97" w:rsidRDefault="008B7C01" w:rsidP="00765D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Higher Education Coordinating</w:t>
            </w:r>
            <w:r>
              <w:t xml:space="preserve"> Board in SECTION 1 of this bill.</w:t>
            </w:r>
          </w:p>
          <w:p w14:paraId="57E5A9D7" w14:textId="77777777" w:rsidR="008423E4" w:rsidRPr="00E21FDC" w:rsidRDefault="008423E4" w:rsidP="00765D90">
            <w:pPr>
              <w:rPr>
                <w:b/>
              </w:rPr>
            </w:pPr>
          </w:p>
        </w:tc>
      </w:tr>
      <w:tr w:rsidR="004F7680" w14:paraId="5F6F171F" w14:textId="77777777" w:rsidTr="00345119">
        <w:tc>
          <w:tcPr>
            <w:tcW w:w="9576" w:type="dxa"/>
          </w:tcPr>
          <w:p w14:paraId="56F887DF" w14:textId="77777777" w:rsidR="008423E4" w:rsidRPr="00A8133F" w:rsidRDefault="008B7C01" w:rsidP="00765D9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78169EE" w14:textId="77777777" w:rsidR="008423E4" w:rsidRDefault="008423E4" w:rsidP="00765D90"/>
          <w:p w14:paraId="0244B9F0" w14:textId="373BD87C" w:rsidR="005E1F23" w:rsidRDefault="008B7C01" w:rsidP="00765D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4387 amends the Education Code to </w:t>
            </w:r>
            <w:r w:rsidR="00F00118">
              <w:t>establish the Texas transfer grant pilot program</w:t>
            </w:r>
            <w:r>
              <w:t xml:space="preserve"> to enable eligible students to attend a general academic teaching institution, excluding a public state college, or a medical and dental unit that offers one or more baccalaureate degree programs.</w:t>
            </w:r>
            <w:r w:rsidR="00F00118">
              <w:t xml:space="preserve"> </w:t>
            </w:r>
            <w:r w:rsidR="00BC6332">
              <w:t xml:space="preserve">The bill </w:t>
            </w:r>
            <w:r w:rsidR="00F00118">
              <w:t>requires the Texas Higher Education Coordinating Board (THECB) to</w:t>
            </w:r>
            <w:r w:rsidR="00C973C4">
              <w:t xml:space="preserve"> administer </w:t>
            </w:r>
            <w:r w:rsidR="00F00118">
              <w:t>the</w:t>
            </w:r>
            <w:r w:rsidR="00C973C4">
              <w:t xml:space="preserve"> program</w:t>
            </w:r>
            <w:r w:rsidR="00BC6332">
              <w:t>,</w:t>
            </w:r>
            <w:r w:rsidR="00C973C4">
              <w:t xml:space="preserve"> </w:t>
            </w:r>
            <w:r w:rsidR="00AF0C1C">
              <w:t>to adopt any rules necessary to implement the program</w:t>
            </w:r>
            <w:r w:rsidR="00BC6332">
              <w:t>, and</w:t>
            </w:r>
            <w:r w:rsidR="000A4BC2">
              <w:t xml:space="preserve"> to consult with the </w:t>
            </w:r>
            <w:r w:rsidR="000A4BC2" w:rsidRPr="000A4BC2">
              <w:t>student financial aid officers of eligible institutions in developing the rules</w:t>
            </w:r>
            <w:r w:rsidR="000A4BC2">
              <w:t xml:space="preserve">. </w:t>
            </w:r>
          </w:p>
          <w:p w14:paraId="495513D8" w14:textId="77777777" w:rsidR="005E1F23" w:rsidRDefault="005E1F23" w:rsidP="00765D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BB00330" w14:textId="0DECEA90" w:rsidR="00503697" w:rsidRDefault="008B7C01" w:rsidP="00765D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4387</w:t>
            </w:r>
            <w:r w:rsidR="000A4BC2">
              <w:t xml:space="preserve"> </w:t>
            </w:r>
            <w:r>
              <w:t>provides for the funding of the program</w:t>
            </w:r>
            <w:r>
              <w:t xml:space="preserve"> as follows:</w:t>
            </w:r>
          </w:p>
          <w:p w14:paraId="04C7B040" w14:textId="2A4B5C2E" w:rsidR="00503697" w:rsidRDefault="008B7C01" w:rsidP="00765D9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limits</w:t>
            </w:r>
            <w:r w:rsidR="000A4BC2">
              <w:t xml:space="preserve"> t</w:t>
            </w:r>
            <w:r w:rsidR="000A4BC2" w:rsidRPr="000A4BC2">
              <w:t xml:space="preserve">he total amount of </w:t>
            </w:r>
            <w:r>
              <w:t xml:space="preserve">program </w:t>
            </w:r>
            <w:r w:rsidR="000A4BC2" w:rsidRPr="000A4BC2">
              <w:t xml:space="preserve">grants awarded </w:t>
            </w:r>
            <w:r>
              <w:t>to</w:t>
            </w:r>
            <w:r w:rsidR="000A4BC2" w:rsidRPr="000A4BC2">
              <w:t xml:space="preserve"> the amount available for the program from appropriations, gifts, grants, or other funds</w:t>
            </w:r>
            <w:r>
              <w:t>;</w:t>
            </w:r>
          </w:p>
          <w:p w14:paraId="6C0174EE" w14:textId="052B54A7" w:rsidR="00503697" w:rsidRDefault="008B7C01" w:rsidP="00765D9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</w:t>
            </w:r>
            <w:r w:rsidR="00555126" w:rsidRPr="00555126">
              <w:t xml:space="preserve">the </w:t>
            </w:r>
            <w:r w:rsidR="00976CE3">
              <w:t>THECB</w:t>
            </w:r>
            <w:r w:rsidR="00555126" w:rsidRPr="00555126">
              <w:t xml:space="preserve"> and the eligible institutions </w:t>
            </w:r>
            <w:r>
              <w:t>to prioritize awards</w:t>
            </w:r>
            <w:r w:rsidR="00555126" w:rsidRPr="00555126">
              <w:t xml:space="preserve"> to students who demonstrate the greatest financial need</w:t>
            </w:r>
            <w:r>
              <w:t>; and</w:t>
            </w:r>
          </w:p>
          <w:p w14:paraId="422E0F2B" w14:textId="6362E0D3" w:rsidR="00BC6332" w:rsidRDefault="008B7C01" w:rsidP="00765D9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t</w:t>
            </w:r>
            <w:r w:rsidRPr="00555126">
              <w:t xml:space="preserve">he </w:t>
            </w:r>
            <w:r w:rsidR="00976CE3">
              <w:t>THECB</w:t>
            </w:r>
            <w:r w:rsidR="00A25E88">
              <w:t>,</w:t>
            </w:r>
            <w:r w:rsidRPr="00555126">
              <w:t xml:space="preserve"> </w:t>
            </w:r>
            <w:r w:rsidR="00A25E88" w:rsidRPr="00555126">
              <w:t>in the event that in any year the amount of money available for grant</w:t>
            </w:r>
            <w:r w:rsidR="00A25E88">
              <w:t>s</w:t>
            </w:r>
            <w:r w:rsidR="00A25E88" w:rsidRPr="00555126">
              <w:t xml:space="preserve"> is insufficient to </w:t>
            </w:r>
            <w:r w:rsidR="00A25E88">
              <w:t>assist</w:t>
            </w:r>
            <w:r w:rsidR="00A25E88" w:rsidRPr="00555126">
              <w:t xml:space="preserve"> all eligible students</w:t>
            </w:r>
            <w:r w:rsidR="00A25E88">
              <w:t xml:space="preserve">, </w:t>
            </w:r>
            <w:r>
              <w:t xml:space="preserve">to </w:t>
            </w:r>
            <w:r w:rsidRPr="00555126">
              <w:t>establish priorities for award</w:t>
            </w:r>
            <w:r w:rsidR="00A25E88">
              <w:t xml:space="preserve">s </w:t>
            </w:r>
            <w:r w:rsidRPr="00555126">
              <w:t xml:space="preserve">as the </w:t>
            </w:r>
            <w:r w:rsidR="00976CE3">
              <w:t>THECB</w:t>
            </w:r>
            <w:r w:rsidRPr="00555126">
              <w:t xml:space="preserve"> determines appropriate to further the </w:t>
            </w:r>
            <w:r w:rsidR="00A25E88">
              <w:t xml:space="preserve">program's </w:t>
            </w:r>
            <w:r w:rsidRPr="00555126">
              <w:t>purpose</w:t>
            </w:r>
            <w:r>
              <w:t xml:space="preserve">. </w:t>
            </w:r>
          </w:p>
          <w:p w14:paraId="038AE1DB" w14:textId="77777777" w:rsidR="00BC6332" w:rsidRDefault="00BC6332" w:rsidP="00765D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0F58F10" w14:textId="3EDB97EC" w:rsidR="0004070E" w:rsidRDefault="008B7C01" w:rsidP="00765D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4387</w:t>
            </w:r>
            <w:r w:rsidR="00555126">
              <w:t xml:space="preserve"> sets out eligibility </w:t>
            </w:r>
            <w:r w:rsidR="00503697">
              <w:t xml:space="preserve">criteria </w:t>
            </w:r>
            <w:r w:rsidR="00555126">
              <w:t xml:space="preserve">for a student </w:t>
            </w:r>
            <w:r w:rsidR="00503697">
              <w:t>to receive a grant</w:t>
            </w:r>
            <w:r w:rsidR="00555126">
              <w:t>, including</w:t>
            </w:r>
            <w:r w:rsidR="00976CE3">
              <w:t xml:space="preserve"> </w:t>
            </w:r>
            <w:r w:rsidR="004E0EC2">
              <w:t xml:space="preserve">enrollment in a baccalaureate degree program at an eligible institution, satisfactory academic progress, compliance with any nonacademic requirement adopted by the THECB, and </w:t>
            </w:r>
            <w:r>
              <w:t>the following</w:t>
            </w:r>
            <w:r w:rsidR="004E0EC2">
              <w:t xml:space="preserve"> additional conditions</w:t>
            </w:r>
            <w:r>
              <w:t>:</w:t>
            </w:r>
          </w:p>
          <w:p w14:paraId="26392B2D" w14:textId="096008FD" w:rsidR="00411028" w:rsidRDefault="008B7C01" w:rsidP="00765D90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student is a Texas </w:t>
            </w:r>
            <w:r w:rsidRPr="00976CE3">
              <w:t xml:space="preserve">resident as determined by </w:t>
            </w:r>
            <w:r>
              <w:t>THECB</w:t>
            </w:r>
            <w:r w:rsidRPr="00976CE3">
              <w:t xml:space="preserve"> rules</w:t>
            </w:r>
            <w:r w:rsidR="0004070E">
              <w:t>;</w:t>
            </w:r>
            <w:r w:rsidR="00C73C0F">
              <w:t xml:space="preserve"> </w:t>
            </w:r>
          </w:p>
          <w:p w14:paraId="6E75ED46" w14:textId="0518CB9F" w:rsidR="00411028" w:rsidRDefault="008B7C01" w:rsidP="00765D90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the student meets financial need requirements, as defined by the THECB, and has applied for any available financial aid or assis</w:t>
            </w:r>
            <w:r>
              <w:t xml:space="preserve">tance; </w:t>
            </w:r>
          </w:p>
          <w:p w14:paraId="567252D1" w14:textId="3AB9EE7F" w:rsidR="0004070E" w:rsidRDefault="008B7C01" w:rsidP="00765D90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the student is enrolled as a transfer student for at least three-fourths of a full course load;</w:t>
            </w:r>
            <w:r w:rsidR="004540EA">
              <w:t xml:space="preserve"> </w:t>
            </w:r>
          </w:p>
          <w:p w14:paraId="7B827F54" w14:textId="77777777" w:rsidR="00A76096" w:rsidRDefault="008B7C01" w:rsidP="00765D90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student is not a </w:t>
            </w:r>
            <w:r w:rsidRPr="00C73C0F">
              <w:t>recipient of a Toward EXcellence, Access, &amp; Success</w:t>
            </w:r>
            <w:r>
              <w:t xml:space="preserve"> (</w:t>
            </w:r>
            <w:r w:rsidRPr="00C73C0F">
              <w:t>TEXAS</w:t>
            </w:r>
            <w:r>
              <w:t>)</w:t>
            </w:r>
            <w:r w:rsidRPr="00C73C0F">
              <w:t xml:space="preserve"> </w:t>
            </w:r>
            <w:r>
              <w:t>g</w:t>
            </w:r>
            <w:r w:rsidRPr="00C73C0F">
              <w:t>rant for the same semester or term</w:t>
            </w:r>
            <w:r>
              <w:t>; and</w:t>
            </w:r>
          </w:p>
          <w:p w14:paraId="5AC982DC" w14:textId="4A6F6CF5" w:rsidR="009C36CD" w:rsidRDefault="008B7C01" w:rsidP="00765D90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the student has not been gran</w:t>
            </w:r>
            <w:r>
              <w:t>ted a baccalaureate degree</w:t>
            </w:r>
            <w:r w:rsidR="00555126">
              <w:t xml:space="preserve">. </w:t>
            </w:r>
          </w:p>
          <w:p w14:paraId="7FAE22FC" w14:textId="77777777" w:rsidR="00555126" w:rsidRDefault="00555126" w:rsidP="00765D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CCC2A4A" w14:textId="396886D4" w:rsidR="009961D0" w:rsidRDefault="008B7C01" w:rsidP="00765D90">
            <w:pPr>
              <w:pStyle w:val="Header"/>
              <w:jc w:val="both"/>
            </w:pPr>
            <w:r>
              <w:t xml:space="preserve">C.S.H.B. 4387 requires the </w:t>
            </w:r>
            <w:r w:rsidR="00976CE3">
              <w:t>THECB</w:t>
            </w:r>
            <w:r>
              <w:t xml:space="preserve"> by rule to establish </w:t>
            </w:r>
            <w:r w:rsidRPr="00555126">
              <w:t xml:space="preserve">the maximum semester credit hours or </w:t>
            </w:r>
            <w:r w:rsidR="00B5178B">
              <w:t>the</w:t>
            </w:r>
            <w:r w:rsidRPr="00555126">
              <w:t xml:space="preserve"> equivalent for which an eligible student may receive a grant</w:t>
            </w:r>
            <w:r w:rsidR="00976CE3">
              <w:t xml:space="preserve">. </w:t>
            </w:r>
            <w:r w:rsidR="008C04E0">
              <w:t xml:space="preserve">The bill provides for a student's ineligibility to continue receiving a grant if the student fails to meet satisfactory academic progress requirements and provides for the renewal of eligibility if the student meets </w:t>
            </w:r>
            <w:r w:rsidR="001C1A71">
              <w:t>all eligibility criteria</w:t>
            </w:r>
            <w:r w:rsidR="008C04E0">
              <w:t xml:space="preserve"> in a subsequent semester or term.</w:t>
            </w:r>
            <w:r w:rsidR="00B9057E">
              <w:t xml:space="preserve"> The bill requires the THECB to adopt </w:t>
            </w:r>
            <w:r w:rsidR="006C75D0">
              <w:t>rules to allow certain academic exceptions on grounds of hardship or for other good cause shown.</w:t>
            </w:r>
          </w:p>
          <w:p w14:paraId="0F7F1188" w14:textId="77777777" w:rsidR="009961D0" w:rsidRDefault="009961D0" w:rsidP="00765D90">
            <w:pPr>
              <w:pStyle w:val="Header"/>
              <w:jc w:val="both"/>
            </w:pPr>
          </w:p>
          <w:p w14:paraId="7FC1393B" w14:textId="1FB1FDD4" w:rsidR="0096083A" w:rsidRDefault="008B7C01" w:rsidP="00765D90">
            <w:pPr>
              <w:pStyle w:val="Header"/>
              <w:jc w:val="both"/>
            </w:pPr>
            <w:r>
              <w:t xml:space="preserve">C.S.H.B. 4387 authorizes a grant recipient to </w:t>
            </w:r>
            <w:r w:rsidRPr="0096083A">
              <w:t>use</w:t>
            </w:r>
            <w:r w:rsidRPr="0096083A">
              <w:t xml:space="preserve"> the money to pay any usual and customary cost of attendance incurred by the student at an eligible institution. The institution may disburse all or part of the proceeds of a grant directly to </w:t>
            </w:r>
            <w:r w:rsidR="001C1A71">
              <w:t>the</w:t>
            </w:r>
            <w:r w:rsidRPr="0096083A">
              <w:t xml:space="preserve"> student only if </w:t>
            </w:r>
            <w:r>
              <w:t>the student's</w:t>
            </w:r>
            <w:r w:rsidRPr="0096083A">
              <w:t xml:space="preserve"> tuition and required fees hav</w:t>
            </w:r>
            <w:r w:rsidRPr="0096083A">
              <w:t>e been paid</w:t>
            </w:r>
            <w:r w:rsidR="0079343E">
              <w:t xml:space="preserve">. </w:t>
            </w:r>
          </w:p>
          <w:p w14:paraId="3F08BEF3" w14:textId="77777777" w:rsidR="0096083A" w:rsidRDefault="0096083A" w:rsidP="00765D90">
            <w:pPr>
              <w:pStyle w:val="Header"/>
              <w:jc w:val="both"/>
            </w:pPr>
          </w:p>
          <w:p w14:paraId="7C26597B" w14:textId="0A6365EA" w:rsidR="002B0DA3" w:rsidRDefault="008B7C01" w:rsidP="00765D90">
            <w:pPr>
              <w:pStyle w:val="Header"/>
              <w:jc w:val="both"/>
            </w:pPr>
            <w:r>
              <w:t>C.S.H.B. 4387 sets out the following provisions relating to the determination of the amount of a grant:</w:t>
            </w:r>
          </w:p>
          <w:p w14:paraId="3055E9D5" w14:textId="682E0A00" w:rsidR="000D2DB4" w:rsidRDefault="008B7C01" w:rsidP="00765D90">
            <w:pPr>
              <w:pStyle w:val="Header"/>
              <w:numPr>
                <w:ilvl w:val="0"/>
                <w:numId w:val="7"/>
              </w:numPr>
              <w:jc w:val="both"/>
            </w:pPr>
            <w:r>
              <w:t>establishes that t</w:t>
            </w:r>
            <w:r w:rsidRPr="0079343E">
              <w:t xml:space="preserve">he maximum amount for </w:t>
            </w:r>
            <w:r>
              <w:t>a</w:t>
            </w:r>
            <w:r w:rsidRPr="0079343E">
              <w:t xml:space="preserve"> student enrolled full-time is the amount determined by the </w:t>
            </w:r>
            <w:r>
              <w:t>THECB</w:t>
            </w:r>
            <w:r w:rsidRPr="0079343E">
              <w:t xml:space="preserve"> as the average statewide amount of tuition and required fees that a resident student enrolled full-time in a baccalaureate degree program would be charged for that semester or term at eligible institutions</w:t>
            </w:r>
            <w:r>
              <w:t>;</w:t>
            </w:r>
          </w:p>
          <w:p w14:paraId="61A38366" w14:textId="2B802228" w:rsidR="00BF5120" w:rsidRDefault="008B7C01" w:rsidP="00765D90">
            <w:pPr>
              <w:pStyle w:val="Header"/>
              <w:numPr>
                <w:ilvl w:val="0"/>
                <w:numId w:val="7"/>
              </w:numPr>
              <w:jc w:val="both"/>
            </w:pPr>
            <w:r>
              <w:t xml:space="preserve">requires the THECB to </w:t>
            </w:r>
            <w:r w:rsidR="000D2DB4">
              <w:t xml:space="preserve">use the amounts of tuition and required fees </w:t>
            </w:r>
            <w:r w:rsidRPr="0079343E">
              <w:t xml:space="preserve">that will be charged by the eligible institutions for </w:t>
            </w:r>
            <w:r>
              <w:t>a</w:t>
            </w:r>
            <w:r w:rsidRPr="0079343E">
              <w:t xml:space="preserve"> semester or term in </w:t>
            </w:r>
            <w:r>
              <w:t>the current</w:t>
            </w:r>
            <w:r w:rsidRPr="0079343E">
              <w:t xml:space="preserve"> academic year </w:t>
            </w:r>
            <w:r>
              <w:t xml:space="preserve">to </w:t>
            </w:r>
            <w:r w:rsidRPr="0079343E">
              <w:t>determine the average statewide tuition and fee</w:t>
            </w:r>
            <w:r>
              <w:t>s</w:t>
            </w:r>
            <w:r w:rsidRPr="0079343E">
              <w:t xml:space="preserve"> for </w:t>
            </w:r>
            <w:r>
              <w:t>that</w:t>
            </w:r>
            <w:r w:rsidRPr="0079343E">
              <w:t xml:space="preserve"> semester or term </w:t>
            </w:r>
            <w:r>
              <w:t>in</w:t>
            </w:r>
            <w:r w:rsidRPr="0079343E">
              <w:t xml:space="preserve"> the next academic year</w:t>
            </w:r>
            <w:r>
              <w:t>;</w:t>
            </w:r>
            <w:r w:rsidRPr="0079343E">
              <w:t xml:space="preserve"> </w:t>
            </w:r>
          </w:p>
          <w:p w14:paraId="55B7DD70" w14:textId="224ED59C" w:rsidR="00E26ED0" w:rsidRDefault="008B7C01" w:rsidP="00765D90">
            <w:pPr>
              <w:pStyle w:val="Header"/>
              <w:numPr>
                <w:ilvl w:val="0"/>
                <w:numId w:val="7"/>
              </w:numPr>
              <w:jc w:val="both"/>
            </w:pPr>
            <w:r>
              <w:t>authorizes the THECB to estim</w:t>
            </w:r>
            <w:r>
              <w:t xml:space="preserve">ate such an amount for a semester or term at a given institution if </w:t>
            </w:r>
            <w:r w:rsidR="0079343E" w:rsidRPr="0079343E">
              <w:t>the relevant information is not yet available</w:t>
            </w:r>
            <w:r>
              <w:t>;</w:t>
            </w:r>
          </w:p>
          <w:p w14:paraId="053ABF89" w14:textId="75B66008" w:rsidR="00DB35F2" w:rsidRDefault="008B7C01" w:rsidP="00765D90">
            <w:pPr>
              <w:pStyle w:val="Header"/>
              <w:numPr>
                <w:ilvl w:val="0"/>
                <w:numId w:val="7"/>
              </w:numPr>
              <w:jc w:val="both"/>
            </w:pPr>
            <w:r>
              <w:t xml:space="preserve">authorizes the THECB to </w:t>
            </w:r>
            <w:r w:rsidRPr="0079343E">
              <w:t xml:space="preserve">adopt rules that allow </w:t>
            </w:r>
            <w:r w:rsidR="00E26ED0">
              <w:t xml:space="preserve">a proportional </w:t>
            </w:r>
            <w:r w:rsidRPr="0079343E">
              <w:t>increase or decrease</w:t>
            </w:r>
            <w:r w:rsidR="00E26ED0">
              <w:t xml:space="preserve"> of a grant award to a student </w:t>
            </w:r>
            <w:r w:rsidRPr="0079343E">
              <w:t xml:space="preserve">who is enrolled in a number </w:t>
            </w:r>
            <w:r w:rsidRPr="0079343E">
              <w:t xml:space="preserve">of semester credit hours that exceeds or is less than the </w:t>
            </w:r>
            <w:r w:rsidR="00944D46">
              <w:t xml:space="preserve">minimum </w:t>
            </w:r>
            <w:r w:rsidRPr="0079343E">
              <w:t>number of semester credit hours</w:t>
            </w:r>
            <w:r>
              <w:t xml:space="preserve"> required to maintain eligibility; and</w:t>
            </w:r>
          </w:p>
          <w:p w14:paraId="18D04E2C" w14:textId="06E48C79" w:rsidR="009961D0" w:rsidRDefault="008B7C01" w:rsidP="00765D90">
            <w:pPr>
              <w:pStyle w:val="Header"/>
              <w:numPr>
                <w:ilvl w:val="0"/>
                <w:numId w:val="7"/>
              </w:numPr>
              <w:jc w:val="both"/>
            </w:pPr>
            <w:r>
              <w:t>prohibits t</w:t>
            </w:r>
            <w:r w:rsidRPr="00944D46">
              <w:t xml:space="preserve">he amount of a grant </w:t>
            </w:r>
            <w:r>
              <w:t xml:space="preserve">from being </w:t>
            </w:r>
            <w:r w:rsidRPr="00944D46">
              <w:t>reduced by any gift aid for which the person receiving the grant is eligible,</w:t>
            </w:r>
            <w:r w:rsidRPr="00944D46">
              <w:t xml:space="preserve"> unless the total amount of </w:t>
            </w:r>
            <w:r w:rsidR="00DB35F2">
              <w:t xml:space="preserve">the </w:t>
            </w:r>
            <w:r w:rsidRPr="00944D46">
              <w:t>grant plus any gift aid received exceeds the student's total financial need</w:t>
            </w:r>
            <w:r>
              <w:t>.</w:t>
            </w:r>
          </w:p>
          <w:p w14:paraId="0A53B791" w14:textId="77777777" w:rsidR="00944D46" w:rsidRDefault="00944D46" w:rsidP="00765D90">
            <w:pPr>
              <w:pStyle w:val="Header"/>
              <w:jc w:val="both"/>
            </w:pPr>
          </w:p>
          <w:p w14:paraId="48B5F763" w14:textId="572E57A4" w:rsidR="00944D46" w:rsidRDefault="008B7C01" w:rsidP="00765D90">
            <w:pPr>
              <w:pStyle w:val="Header"/>
              <w:jc w:val="both"/>
            </w:pPr>
            <w:r>
              <w:t xml:space="preserve">C.S.H.B. 4387 </w:t>
            </w:r>
            <w:r w:rsidR="007A64F7">
              <w:t xml:space="preserve">authorizes an </w:t>
            </w:r>
            <w:r w:rsidR="007A64F7" w:rsidRPr="00CB499A">
              <w:t xml:space="preserve">institution </w:t>
            </w:r>
            <w:r w:rsidR="007A64F7">
              <w:t xml:space="preserve">to </w:t>
            </w:r>
            <w:r w:rsidR="007A64F7" w:rsidRPr="00CB499A">
              <w:t xml:space="preserve">elect to award a grant under </w:t>
            </w:r>
            <w:r w:rsidR="007A64F7">
              <w:t xml:space="preserve">the program </w:t>
            </w:r>
            <w:r w:rsidR="007A64F7" w:rsidRPr="00CB499A">
              <w:t>to any student in an amount that is less than the</w:t>
            </w:r>
            <w:r w:rsidR="007A64F7">
              <w:t xml:space="preserve"> </w:t>
            </w:r>
            <w:r w:rsidR="00130692">
              <w:t xml:space="preserve">maximum grant amount per student set </w:t>
            </w:r>
            <w:r w:rsidR="007A64F7">
              <w:t>by the THECB</w:t>
            </w:r>
            <w:r w:rsidR="00130692">
              <w:t xml:space="preserve"> or the amount of tuition and fees charged by the institution, as applicable,</w:t>
            </w:r>
            <w:r w:rsidR="007A64F7">
              <w:t xml:space="preserve"> but </w:t>
            </w:r>
            <w:r>
              <w:t>requires an institution to use other available sources of financial aid, other than a loan, to cover any difference in the amount of a</w:t>
            </w:r>
            <w:r w:rsidR="00130692">
              <w:t>n awarded</w:t>
            </w:r>
            <w:r>
              <w:t xml:space="preserve"> grant and the actual amount of tuition and required fees at the institution if th</w:t>
            </w:r>
            <w:r w:rsidR="00130692">
              <w:t>at</w:t>
            </w:r>
            <w:r>
              <w:t xml:space="preserve"> difference results from</w:t>
            </w:r>
            <w:r w:rsidR="00130692">
              <w:t xml:space="preserve"> either of the following</w:t>
            </w:r>
            <w:r>
              <w:t>:</w:t>
            </w:r>
          </w:p>
          <w:p w14:paraId="07E07646" w14:textId="222498B2" w:rsidR="00944D46" w:rsidRDefault="008B7C01" w:rsidP="00765D90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 reduction in the amount of a grant </w:t>
            </w:r>
            <w:r w:rsidR="00130692">
              <w:t>bec</w:t>
            </w:r>
            <w:r w:rsidR="00C946E4">
              <w:t>ause of the institution's exercise of its discretion as authorized by the bill</w:t>
            </w:r>
            <w:r>
              <w:t>; or</w:t>
            </w:r>
          </w:p>
          <w:p w14:paraId="4925FEB8" w14:textId="7102A3D3" w:rsidR="00944D46" w:rsidRDefault="008B7C01" w:rsidP="00765D90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 deficiency in the amount of the grant, as </w:t>
            </w:r>
            <w:r w:rsidR="00C946E4">
              <w:t>authorized by the THECB</w:t>
            </w:r>
            <w:r>
              <w:t>, to cover the full amount of tuition and required fees charged to the student by the institution.</w:t>
            </w:r>
          </w:p>
          <w:p w14:paraId="51A9C7E3" w14:textId="49D0976A" w:rsidR="00CB499A" w:rsidRDefault="00CB499A" w:rsidP="00765D90">
            <w:pPr>
              <w:pStyle w:val="Header"/>
              <w:jc w:val="both"/>
            </w:pPr>
          </w:p>
          <w:p w14:paraId="60651A55" w14:textId="0D53DA94" w:rsidR="00944D46" w:rsidRDefault="008B7C01" w:rsidP="00765D90">
            <w:pPr>
              <w:pStyle w:val="Header"/>
              <w:jc w:val="both"/>
            </w:pPr>
            <w:r>
              <w:t>C.S.H.B. 4387 prohibits an institution from doing the following:</w:t>
            </w:r>
          </w:p>
          <w:p w14:paraId="21B01A67" w14:textId="194BEA99" w:rsidR="00CB499A" w:rsidRDefault="008B7C01" w:rsidP="00765D90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charging a </w:t>
            </w:r>
            <w:r w:rsidR="00EA6765">
              <w:t xml:space="preserve">grant recipient </w:t>
            </w:r>
            <w:r>
              <w:t xml:space="preserve">attending the institution an amount of tuition and required fees that exceeds the amount of the grant, unless the institution complies with the </w:t>
            </w:r>
            <w:r w:rsidR="00835E5C">
              <w:t xml:space="preserve">bill's </w:t>
            </w:r>
            <w:r>
              <w:t xml:space="preserve">requirement to use </w:t>
            </w:r>
            <w:r w:rsidR="00EA6765">
              <w:t xml:space="preserve">certain </w:t>
            </w:r>
            <w:r>
              <w:t xml:space="preserve">other financial aid to cover the difference in the amount of </w:t>
            </w:r>
            <w:r w:rsidR="00835E5C">
              <w:t>the</w:t>
            </w:r>
            <w:r>
              <w:t xml:space="preserve"> gr</w:t>
            </w:r>
            <w:r>
              <w:t>ant and t</w:t>
            </w:r>
            <w:r w:rsidR="007A64F7">
              <w:t xml:space="preserve">he </w:t>
            </w:r>
            <w:r w:rsidR="00EA6765">
              <w:t xml:space="preserve">amount of </w:t>
            </w:r>
            <w:r w:rsidR="007A64F7">
              <w:t>tuition and required fees; and</w:t>
            </w:r>
          </w:p>
          <w:p w14:paraId="7BF1ADFE" w14:textId="5281E628" w:rsidR="00944D46" w:rsidRDefault="008B7C01" w:rsidP="00765D90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denying admission to or enrollment in the institution based on a person's </w:t>
            </w:r>
            <w:r w:rsidR="00EA6765">
              <w:t xml:space="preserve">receipt of a grant or </w:t>
            </w:r>
            <w:r>
              <w:t>eligibility to receive a grant.</w:t>
            </w:r>
          </w:p>
          <w:p w14:paraId="47FDC827" w14:textId="2BB37F92" w:rsidR="007A64F7" w:rsidRDefault="007A64F7" w:rsidP="00765D90">
            <w:pPr>
              <w:pStyle w:val="Header"/>
              <w:jc w:val="both"/>
            </w:pPr>
          </w:p>
          <w:p w14:paraId="1DBA469A" w14:textId="6AAA1705" w:rsidR="007A64F7" w:rsidRDefault="008B7C01" w:rsidP="00765D90">
            <w:pPr>
              <w:pStyle w:val="Header"/>
              <w:jc w:val="both"/>
            </w:pPr>
            <w:r>
              <w:t>C.S.H.B. 4387 requires the l</w:t>
            </w:r>
            <w:r w:rsidRPr="007A64F7">
              <w:t xml:space="preserve">egislature in an appropriations act </w:t>
            </w:r>
            <w:r>
              <w:t xml:space="preserve">to </w:t>
            </w:r>
            <w:r w:rsidRPr="007A64F7">
              <w:t>account</w:t>
            </w:r>
            <w:r w:rsidRPr="007A64F7">
              <w:t xml:space="preserve"> for tuition and required fees received </w:t>
            </w:r>
            <w:r w:rsidR="002B0DA3">
              <w:t xml:space="preserve">by an institution through program grants </w:t>
            </w:r>
            <w:r w:rsidRPr="007A64F7">
              <w:t>in a way that does not increase the general revenue appropriations to that institution</w:t>
            </w:r>
            <w:r>
              <w:t>.</w:t>
            </w:r>
            <w:r w:rsidR="00EA6765">
              <w:t xml:space="preserve"> The bill </w:t>
            </w:r>
            <w:r>
              <w:t>requires the THECB</w:t>
            </w:r>
            <w:r w:rsidR="002664EB">
              <w:t>, not late</w:t>
            </w:r>
            <w:r w:rsidR="00EA6765">
              <w:t>r</w:t>
            </w:r>
            <w:r w:rsidR="002664EB">
              <w:t xml:space="preserve"> than December 1 of each even-numbered year,</w:t>
            </w:r>
            <w:r>
              <w:t xml:space="preserve"> to </w:t>
            </w:r>
            <w:r w:rsidRPr="007A64F7">
              <w:t>s</w:t>
            </w:r>
            <w:r w:rsidRPr="007A64F7">
              <w:t>ubmit to the legislature a report on the effectiveness of the pilot program</w:t>
            </w:r>
            <w:r w:rsidR="00EA6765">
              <w:t>, including</w:t>
            </w:r>
            <w:r>
              <w:t xml:space="preserve"> </w:t>
            </w:r>
            <w:r w:rsidRPr="007A64F7">
              <w:t>a recommendation regarding whether the pilot program should be continued, expanded, or terminated.</w:t>
            </w:r>
            <w:r w:rsidR="007C79AE">
              <w:t xml:space="preserve"> The bill's provisions expire September 1, 2025. </w:t>
            </w:r>
          </w:p>
          <w:p w14:paraId="671F212F" w14:textId="21B171B2" w:rsidR="007A64F7" w:rsidRDefault="007A64F7" w:rsidP="00765D90">
            <w:pPr>
              <w:pStyle w:val="Header"/>
              <w:jc w:val="both"/>
            </w:pPr>
          </w:p>
          <w:p w14:paraId="10C4C493" w14:textId="55562672" w:rsidR="007C79AE" w:rsidRDefault="008B7C01" w:rsidP="00765D90">
            <w:pPr>
              <w:pStyle w:val="Header"/>
              <w:jc w:val="both"/>
            </w:pPr>
            <w:r>
              <w:t>C.S.H.B. 4387 requir</w:t>
            </w:r>
            <w:r>
              <w:t>es the THECB and eligible institutions to award initial grants beginning with the 2022 spring semester. Implementation of a provision of this bill by the THECB is mandatory only if a specific appropriation is made for that purpose.</w:t>
            </w:r>
          </w:p>
          <w:p w14:paraId="01ACDB8B" w14:textId="77777777" w:rsidR="008423E4" w:rsidRPr="00835628" w:rsidRDefault="008423E4" w:rsidP="00765D90">
            <w:pPr>
              <w:pStyle w:val="Header"/>
              <w:jc w:val="both"/>
              <w:rPr>
                <w:b/>
              </w:rPr>
            </w:pPr>
          </w:p>
        </w:tc>
      </w:tr>
      <w:tr w:rsidR="004F7680" w14:paraId="27A1C997" w14:textId="77777777" w:rsidTr="00345119">
        <w:tc>
          <w:tcPr>
            <w:tcW w:w="9576" w:type="dxa"/>
          </w:tcPr>
          <w:p w14:paraId="43D6DFDF" w14:textId="77777777" w:rsidR="008423E4" w:rsidRPr="00A8133F" w:rsidRDefault="008B7C01" w:rsidP="00765D9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557562A" w14:textId="77777777" w:rsidR="008423E4" w:rsidRDefault="008423E4" w:rsidP="00765D90"/>
          <w:p w14:paraId="22914F2B" w14:textId="77777777" w:rsidR="008423E4" w:rsidRPr="003624F2" w:rsidRDefault="008B7C01" w:rsidP="00765D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>
              <w:t>passage, or, if the bill does not receive the necessary vote, September 1, 2021.</w:t>
            </w:r>
          </w:p>
          <w:p w14:paraId="3B96EA28" w14:textId="77777777" w:rsidR="008423E4" w:rsidRPr="00233FDB" w:rsidRDefault="008423E4" w:rsidP="00765D90">
            <w:pPr>
              <w:rPr>
                <w:b/>
              </w:rPr>
            </w:pPr>
          </w:p>
        </w:tc>
      </w:tr>
      <w:tr w:rsidR="004F7680" w14:paraId="4563196C" w14:textId="77777777" w:rsidTr="00345119">
        <w:tc>
          <w:tcPr>
            <w:tcW w:w="9576" w:type="dxa"/>
          </w:tcPr>
          <w:p w14:paraId="04BF5D28" w14:textId="77777777" w:rsidR="00E33554" w:rsidRDefault="008B7C01" w:rsidP="00765D9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C657CF5" w14:textId="77777777" w:rsidR="00E33554" w:rsidRDefault="00E33554" w:rsidP="00765D90">
            <w:pPr>
              <w:jc w:val="both"/>
            </w:pPr>
          </w:p>
          <w:p w14:paraId="1C778A0A" w14:textId="4D154FFD" w:rsidR="00E33554" w:rsidRDefault="008B7C01" w:rsidP="00765D90">
            <w:pPr>
              <w:jc w:val="both"/>
            </w:pPr>
            <w:r>
              <w:t>While C.S.H.B. 4387 may differ from the original in minor or nonsubstantive ways, the following summarizes the substantial differences</w:t>
            </w:r>
            <w:r>
              <w:t xml:space="preserve"> between the introduced and committee substitute versions of the bill.</w:t>
            </w:r>
          </w:p>
          <w:p w14:paraId="45AA7194" w14:textId="0253E3B0" w:rsidR="007C79AE" w:rsidRDefault="007C79AE" w:rsidP="00765D90">
            <w:pPr>
              <w:jc w:val="both"/>
            </w:pPr>
          </w:p>
          <w:p w14:paraId="6752791A" w14:textId="5317582E" w:rsidR="007C79AE" w:rsidRDefault="008B7C01" w:rsidP="00765D90">
            <w:pPr>
              <w:jc w:val="both"/>
            </w:pPr>
            <w:r>
              <w:t>In the context of a student's eligibility for a grant, the substitute describes the following considerations as being determined by the THECB, whereas the original specified that those</w:t>
            </w:r>
            <w:r>
              <w:t xml:space="preserve"> determinations are by </w:t>
            </w:r>
            <w:r w:rsidR="004868A6">
              <w:t>THECB rule</w:t>
            </w:r>
            <w:r>
              <w:t>s</w:t>
            </w:r>
            <w:r w:rsidR="004868A6">
              <w:t xml:space="preserve">: </w:t>
            </w:r>
          </w:p>
          <w:p w14:paraId="6C00C93B" w14:textId="0F6FE339" w:rsidR="004868A6" w:rsidRDefault="008B7C01" w:rsidP="00765D90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what constitutes</w:t>
            </w:r>
            <w:r w:rsidRPr="004868A6">
              <w:t xml:space="preserve"> a full course load for a student in a baccalaureate program</w:t>
            </w:r>
            <w:r>
              <w:t>; and</w:t>
            </w:r>
          </w:p>
          <w:p w14:paraId="15672F61" w14:textId="526CBD59" w:rsidR="004868A6" w:rsidRDefault="008B7C01" w:rsidP="00765D90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 xml:space="preserve">the criteria for satisfactory </w:t>
            </w:r>
            <w:r w:rsidR="00BF68B8">
              <w:t>a</w:t>
            </w:r>
            <w:r w:rsidR="00BF68B8" w:rsidRPr="00BF68B8">
              <w:t>cademic progress toward a baccalaureate degree</w:t>
            </w:r>
            <w:r w:rsidR="00BF68B8">
              <w:t xml:space="preserve">. </w:t>
            </w:r>
          </w:p>
          <w:p w14:paraId="70AF4FB1" w14:textId="77777777" w:rsidR="004868A6" w:rsidRDefault="004868A6" w:rsidP="00765D90">
            <w:pPr>
              <w:jc w:val="both"/>
            </w:pPr>
          </w:p>
          <w:p w14:paraId="641ECF5F" w14:textId="740678D8" w:rsidR="002664EB" w:rsidRDefault="008B7C01" w:rsidP="00765D90">
            <w:pPr>
              <w:jc w:val="both"/>
            </w:pPr>
            <w:r>
              <w:t xml:space="preserve">The substitute includes a reporting requirement for the </w:t>
            </w:r>
            <w:r w:rsidR="004868A6">
              <w:t xml:space="preserve">THECB </w:t>
            </w:r>
            <w:r w:rsidR="0072420A">
              <w:t xml:space="preserve">that did not appear </w:t>
            </w:r>
            <w:r>
              <w:t xml:space="preserve">in the original. The </w:t>
            </w:r>
            <w:r w:rsidR="002B3EF4">
              <w:t>substitute</w:t>
            </w:r>
            <w:r>
              <w:t xml:space="preserve"> includes a provision making the bill's provisions expire September 1, 2025, which was not in the original.  </w:t>
            </w:r>
          </w:p>
          <w:p w14:paraId="68226324" w14:textId="1E49C061" w:rsidR="0072420A" w:rsidRDefault="0072420A" w:rsidP="00765D90">
            <w:pPr>
              <w:jc w:val="both"/>
            </w:pPr>
          </w:p>
          <w:p w14:paraId="0E661572" w14:textId="50EC7C17" w:rsidR="0072420A" w:rsidRDefault="008B7C01" w:rsidP="00765D90">
            <w:pPr>
              <w:jc w:val="both"/>
            </w:pPr>
            <w:r>
              <w:t xml:space="preserve">The substitute replaces </w:t>
            </w:r>
            <w:r w:rsidR="00147C5F">
              <w:t>certain references in the original to a public institution of</w:t>
            </w:r>
            <w:r>
              <w:t xml:space="preserve"> higher education with </w:t>
            </w:r>
            <w:r w:rsidR="00147C5F">
              <w:t>references to</w:t>
            </w:r>
            <w:r>
              <w:t xml:space="preserve"> an eligible institution </w:t>
            </w:r>
            <w:r w:rsidR="00147C5F">
              <w:t xml:space="preserve">to reflect the bill's </w:t>
            </w:r>
            <w:r w:rsidR="008940DE">
              <w:t xml:space="preserve">applicable </w:t>
            </w:r>
            <w:r w:rsidR="00147C5F">
              <w:t>definition</w:t>
            </w:r>
            <w:r w:rsidR="008940DE">
              <w:t>.</w:t>
            </w:r>
            <w:r>
              <w:t xml:space="preserve">  </w:t>
            </w:r>
          </w:p>
          <w:p w14:paraId="2BE7D36C" w14:textId="65361BE3" w:rsidR="004868A6" w:rsidRDefault="004868A6" w:rsidP="00765D90">
            <w:pPr>
              <w:jc w:val="both"/>
            </w:pPr>
          </w:p>
          <w:p w14:paraId="014168EE" w14:textId="5BB39C5D" w:rsidR="00E33554" w:rsidRPr="00E33554" w:rsidRDefault="008B7C01" w:rsidP="00765D90">
            <w:pPr>
              <w:jc w:val="both"/>
              <w:rPr>
                <w:b/>
                <w:u w:val="single"/>
              </w:rPr>
            </w:pPr>
            <w:r>
              <w:t xml:space="preserve">The substitute standardizes the form of </w:t>
            </w:r>
            <w:r w:rsidR="00E943B9">
              <w:t>an</w:t>
            </w:r>
            <w:r>
              <w:t xml:space="preserve"> appropriations contingency provision that appeared in the original. </w:t>
            </w:r>
          </w:p>
        </w:tc>
      </w:tr>
      <w:tr w:rsidR="004F7680" w14:paraId="11D07E0A" w14:textId="77777777" w:rsidTr="00345119">
        <w:tc>
          <w:tcPr>
            <w:tcW w:w="9576" w:type="dxa"/>
          </w:tcPr>
          <w:p w14:paraId="05D32F76" w14:textId="77777777" w:rsidR="00E33554" w:rsidRPr="009C1E9A" w:rsidRDefault="00E33554" w:rsidP="00765D90">
            <w:pPr>
              <w:rPr>
                <w:b/>
                <w:u w:val="single"/>
              </w:rPr>
            </w:pPr>
          </w:p>
        </w:tc>
      </w:tr>
      <w:tr w:rsidR="004F7680" w14:paraId="75B2A248" w14:textId="77777777" w:rsidTr="00345119">
        <w:tc>
          <w:tcPr>
            <w:tcW w:w="9576" w:type="dxa"/>
          </w:tcPr>
          <w:p w14:paraId="067FF3A5" w14:textId="77777777" w:rsidR="00E33554" w:rsidRPr="00E33554" w:rsidRDefault="00E33554" w:rsidP="00765D90">
            <w:pPr>
              <w:jc w:val="both"/>
            </w:pPr>
          </w:p>
        </w:tc>
      </w:tr>
    </w:tbl>
    <w:p w14:paraId="61089DD7" w14:textId="77777777" w:rsidR="008423E4" w:rsidRPr="00BE0E75" w:rsidRDefault="008423E4" w:rsidP="00765D90">
      <w:pPr>
        <w:jc w:val="both"/>
        <w:rPr>
          <w:rFonts w:ascii="Arial" w:hAnsi="Arial"/>
          <w:sz w:val="16"/>
          <w:szCs w:val="16"/>
        </w:rPr>
      </w:pPr>
    </w:p>
    <w:p w14:paraId="229C1A59" w14:textId="77777777" w:rsidR="004108C3" w:rsidRPr="008423E4" w:rsidRDefault="004108C3" w:rsidP="00765D9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6A84C" w14:textId="77777777" w:rsidR="00000000" w:rsidRDefault="008B7C01">
      <w:r>
        <w:separator/>
      </w:r>
    </w:p>
  </w:endnote>
  <w:endnote w:type="continuationSeparator" w:id="0">
    <w:p w14:paraId="5607A5D9" w14:textId="77777777" w:rsidR="00000000" w:rsidRDefault="008B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6CA36" w14:textId="77777777" w:rsidR="00D350A4" w:rsidRDefault="00D35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7680" w14:paraId="19494DFB" w14:textId="77777777" w:rsidTr="009C1E9A">
      <w:trPr>
        <w:cantSplit/>
      </w:trPr>
      <w:tc>
        <w:tcPr>
          <w:tcW w:w="0" w:type="pct"/>
        </w:tcPr>
        <w:p w14:paraId="6681BC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1F83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FDB0B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7215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3A558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7680" w14:paraId="49C301C3" w14:textId="77777777" w:rsidTr="009C1E9A">
      <w:trPr>
        <w:cantSplit/>
      </w:trPr>
      <w:tc>
        <w:tcPr>
          <w:tcW w:w="0" w:type="pct"/>
        </w:tcPr>
        <w:p w14:paraId="2C41666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037867" w14:textId="77777777" w:rsidR="00EC379B" w:rsidRPr="009C1E9A" w:rsidRDefault="008B7C0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22874</w:t>
          </w:r>
        </w:p>
      </w:tc>
      <w:tc>
        <w:tcPr>
          <w:tcW w:w="2453" w:type="pct"/>
        </w:tcPr>
        <w:p w14:paraId="742EFD94" w14:textId="1D8C78FB" w:rsidR="00EC379B" w:rsidRDefault="008B7C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04E0D">
            <w:t>21.119.1484</w:t>
          </w:r>
          <w:r>
            <w:fldChar w:fldCharType="end"/>
          </w:r>
        </w:p>
      </w:tc>
    </w:tr>
    <w:tr w:rsidR="004F7680" w14:paraId="775A6213" w14:textId="77777777" w:rsidTr="009C1E9A">
      <w:trPr>
        <w:cantSplit/>
      </w:trPr>
      <w:tc>
        <w:tcPr>
          <w:tcW w:w="0" w:type="pct"/>
        </w:tcPr>
        <w:p w14:paraId="59277E5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B279E89" w14:textId="77777777" w:rsidR="00EC379B" w:rsidRPr="009C1E9A" w:rsidRDefault="008B7C0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18094</w:t>
          </w:r>
        </w:p>
      </w:tc>
      <w:tc>
        <w:tcPr>
          <w:tcW w:w="2453" w:type="pct"/>
        </w:tcPr>
        <w:p w14:paraId="19F9C51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E09C1B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7680" w14:paraId="02A92D5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1715AC0" w14:textId="52CC9C50" w:rsidR="00EC379B" w:rsidRDefault="008B7C0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65D9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4B36E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F3D950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CDC1" w14:textId="77777777" w:rsidR="00D350A4" w:rsidRDefault="00D35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9AFDF" w14:textId="77777777" w:rsidR="00000000" w:rsidRDefault="008B7C01">
      <w:r>
        <w:separator/>
      </w:r>
    </w:p>
  </w:footnote>
  <w:footnote w:type="continuationSeparator" w:id="0">
    <w:p w14:paraId="5C4EED08" w14:textId="77777777" w:rsidR="00000000" w:rsidRDefault="008B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918DE" w14:textId="77777777" w:rsidR="00D350A4" w:rsidRDefault="00D35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4619" w14:textId="77777777" w:rsidR="00D350A4" w:rsidRDefault="00D350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BBA22" w14:textId="77777777" w:rsidR="00D350A4" w:rsidRDefault="00D35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91D"/>
    <w:multiLevelType w:val="hybridMultilevel"/>
    <w:tmpl w:val="888E44C2"/>
    <w:lvl w:ilvl="0" w:tplc="2FA05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24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CE3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85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2F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A5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41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C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C0F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6B1"/>
    <w:multiLevelType w:val="hybridMultilevel"/>
    <w:tmpl w:val="51B601E4"/>
    <w:lvl w:ilvl="0" w:tplc="B3BCA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9C9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D0F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4B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47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020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4D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0D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4E8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F1EB9"/>
    <w:multiLevelType w:val="hybridMultilevel"/>
    <w:tmpl w:val="8702EB40"/>
    <w:lvl w:ilvl="0" w:tplc="53D45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AB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9C9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46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C7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08C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6E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83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2C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56BEB"/>
    <w:multiLevelType w:val="hybridMultilevel"/>
    <w:tmpl w:val="C3BEF42A"/>
    <w:lvl w:ilvl="0" w:tplc="E042D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CF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C5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07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67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465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A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EC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2E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36D45"/>
    <w:multiLevelType w:val="hybridMultilevel"/>
    <w:tmpl w:val="7F1E2EA2"/>
    <w:lvl w:ilvl="0" w:tplc="69CE7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A7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E62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A1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69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30D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03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8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4B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D693D"/>
    <w:multiLevelType w:val="hybridMultilevel"/>
    <w:tmpl w:val="3248759E"/>
    <w:lvl w:ilvl="0" w:tplc="0FAA4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CF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C6F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09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68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ED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8F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63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FE5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430F4"/>
    <w:multiLevelType w:val="hybridMultilevel"/>
    <w:tmpl w:val="6DDAA45A"/>
    <w:lvl w:ilvl="0" w:tplc="092C1D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E30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308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8F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4C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82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2D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A3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40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5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070E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090"/>
    <w:rsid w:val="00097AAF"/>
    <w:rsid w:val="00097D13"/>
    <w:rsid w:val="000A4893"/>
    <w:rsid w:val="000A4BC2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DB4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692"/>
    <w:rsid w:val="001312BB"/>
    <w:rsid w:val="00137D90"/>
    <w:rsid w:val="00141FB6"/>
    <w:rsid w:val="00142F8E"/>
    <w:rsid w:val="00143C8B"/>
    <w:rsid w:val="00147530"/>
    <w:rsid w:val="00147C5F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A71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4EB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0DA3"/>
    <w:rsid w:val="002B26DD"/>
    <w:rsid w:val="002B2870"/>
    <w:rsid w:val="002B391B"/>
    <w:rsid w:val="002B3EF4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323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345"/>
    <w:rsid w:val="00400ACD"/>
    <w:rsid w:val="00403B15"/>
    <w:rsid w:val="00403E8A"/>
    <w:rsid w:val="004101E4"/>
    <w:rsid w:val="00410661"/>
    <w:rsid w:val="004108C3"/>
    <w:rsid w:val="00410B33"/>
    <w:rsid w:val="00411028"/>
    <w:rsid w:val="004120CC"/>
    <w:rsid w:val="004122A0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0EA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68A6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6724"/>
    <w:rsid w:val="004E0E60"/>
    <w:rsid w:val="004E0EC2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680"/>
    <w:rsid w:val="00500121"/>
    <w:rsid w:val="005017AC"/>
    <w:rsid w:val="00501E8A"/>
    <w:rsid w:val="00503697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0D98"/>
    <w:rsid w:val="00551CA6"/>
    <w:rsid w:val="00555034"/>
    <w:rsid w:val="00555126"/>
    <w:rsid w:val="005570D2"/>
    <w:rsid w:val="0056153F"/>
    <w:rsid w:val="00561B14"/>
    <w:rsid w:val="00562C87"/>
    <w:rsid w:val="005636BD"/>
    <w:rsid w:val="005666D5"/>
    <w:rsid w:val="005669A7"/>
    <w:rsid w:val="00573401"/>
    <w:rsid w:val="00574AE3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1F23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3A5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6D0B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5D0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0A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5D90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43E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4F7"/>
    <w:rsid w:val="007A7EC1"/>
    <w:rsid w:val="007B4FCA"/>
    <w:rsid w:val="007B7B85"/>
    <w:rsid w:val="007C462E"/>
    <w:rsid w:val="007C496B"/>
    <w:rsid w:val="007C6803"/>
    <w:rsid w:val="007C79AE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F97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5C"/>
    <w:rsid w:val="00835E90"/>
    <w:rsid w:val="00837A88"/>
    <w:rsid w:val="0084176D"/>
    <w:rsid w:val="008423E4"/>
    <w:rsid w:val="00842900"/>
    <w:rsid w:val="00844C9D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0DE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B7C01"/>
    <w:rsid w:val="008C04E0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4D46"/>
    <w:rsid w:val="00946044"/>
    <w:rsid w:val="009465AB"/>
    <w:rsid w:val="00946DEE"/>
    <w:rsid w:val="00953499"/>
    <w:rsid w:val="00954A16"/>
    <w:rsid w:val="0095696D"/>
    <w:rsid w:val="0096083A"/>
    <w:rsid w:val="0096482F"/>
    <w:rsid w:val="00964E3A"/>
    <w:rsid w:val="00967126"/>
    <w:rsid w:val="00970EAE"/>
    <w:rsid w:val="00971627"/>
    <w:rsid w:val="00972797"/>
    <w:rsid w:val="0097279D"/>
    <w:rsid w:val="00976837"/>
    <w:rsid w:val="00976CE3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61D0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374A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E88"/>
    <w:rsid w:val="00A26A8A"/>
    <w:rsid w:val="00A27255"/>
    <w:rsid w:val="00A32304"/>
    <w:rsid w:val="00A3420E"/>
    <w:rsid w:val="00A35D66"/>
    <w:rsid w:val="00A40701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6096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C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178B"/>
    <w:rsid w:val="00B524C1"/>
    <w:rsid w:val="00B52C8D"/>
    <w:rsid w:val="00B55C03"/>
    <w:rsid w:val="00B564BF"/>
    <w:rsid w:val="00B6104E"/>
    <w:rsid w:val="00B610C7"/>
    <w:rsid w:val="00B62106"/>
    <w:rsid w:val="00B626A8"/>
    <w:rsid w:val="00B65695"/>
    <w:rsid w:val="00B66526"/>
    <w:rsid w:val="00B665A3"/>
    <w:rsid w:val="00B729D1"/>
    <w:rsid w:val="00B73BB4"/>
    <w:rsid w:val="00B80532"/>
    <w:rsid w:val="00B82039"/>
    <w:rsid w:val="00B82454"/>
    <w:rsid w:val="00B82BDD"/>
    <w:rsid w:val="00B90097"/>
    <w:rsid w:val="00B9057E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8D"/>
    <w:rsid w:val="00BC58E1"/>
    <w:rsid w:val="00BC59CA"/>
    <w:rsid w:val="00BC6332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120"/>
    <w:rsid w:val="00BF68B8"/>
    <w:rsid w:val="00C013F4"/>
    <w:rsid w:val="00C040AB"/>
    <w:rsid w:val="00C0499B"/>
    <w:rsid w:val="00C04E0D"/>
    <w:rsid w:val="00C05406"/>
    <w:rsid w:val="00C05CF0"/>
    <w:rsid w:val="00C119AC"/>
    <w:rsid w:val="00C14EE6"/>
    <w:rsid w:val="00C151DA"/>
    <w:rsid w:val="00C152A1"/>
    <w:rsid w:val="00C15D64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C0F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6E4"/>
    <w:rsid w:val="00C95150"/>
    <w:rsid w:val="00C95A73"/>
    <w:rsid w:val="00C973C4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99A"/>
    <w:rsid w:val="00CB4B4B"/>
    <w:rsid w:val="00CB4B73"/>
    <w:rsid w:val="00CB74CB"/>
    <w:rsid w:val="00CB7E04"/>
    <w:rsid w:val="00CC24B7"/>
    <w:rsid w:val="00CC52B9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4814"/>
    <w:rsid w:val="00D30534"/>
    <w:rsid w:val="00D350A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35F2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6ED0"/>
    <w:rsid w:val="00E27E5A"/>
    <w:rsid w:val="00E31135"/>
    <w:rsid w:val="00E317BA"/>
    <w:rsid w:val="00E33554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3B9"/>
    <w:rsid w:val="00E947B1"/>
    <w:rsid w:val="00E96852"/>
    <w:rsid w:val="00EA16AC"/>
    <w:rsid w:val="00EA385A"/>
    <w:rsid w:val="00EA3931"/>
    <w:rsid w:val="00EA658E"/>
    <w:rsid w:val="00EA6765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118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6DAB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5BCFF6-B5C8-4894-9EC1-9EFCEEE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F0C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0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0C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0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0C1C"/>
    <w:rPr>
      <w:b/>
      <w:bCs/>
    </w:rPr>
  </w:style>
  <w:style w:type="character" w:styleId="Hyperlink">
    <w:name w:val="Hyperlink"/>
    <w:basedOn w:val="DefaultParagraphFont"/>
    <w:unhideWhenUsed/>
    <w:rsid w:val="007C79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8A6"/>
    <w:pPr>
      <w:ind w:left="720"/>
      <w:contextualSpacing/>
    </w:pPr>
  </w:style>
  <w:style w:type="paragraph" w:styleId="Revision">
    <w:name w:val="Revision"/>
    <w:hidden/>
    <w:uiPriority w:val="99"/>
    <w:semiHidden/>
    <w:rsid w:val="00B729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1360</Words>
  <Characters>7235</Characters>
  <Application>Microsoft Office Word</Application>
  <DocSecurity>4</DocSecurity>
  <Lines>150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HB04387 (Committee Report (Substituted))</vt:lpstr>
    </vt:vector>
  </TitlesOfParts>
  <Company>State of Texas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22874</dc:subject>
  <dc:creator>State of Texas</dc:creator>
  <dc:description>HB 4387 by González, Mary-(H)Higher Education (Substitute Document Number: 87R 18094)</dc:description>
  <cp:lastModifiedBy>Thomas Weis</cp:lastModifiedBy>
  <cp:revision>2</cp:revision>
  <cp:lastPrinted>2003-11-26T17:21:00Z</cp:lastPrinted>
  <dcterms:created xsi:type="dcterms:W3CDTF">2021-05-03T21:10:00Z</dcterms:created>
  <dcterms:modified xsi:type="dcterms:W3CDTF">2021-05-03T21:10:00Z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21.119.1484</vt:lpwstr>
  </property>
</Properties>
</file>