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1A08D1" w14:paraId="526CB230" w14:textId="77777777" w:rsidTr="00345119">
        <w:tc>
          <w:tcPr>
            <w:tcW w:w="9576" w:type="dxa"/>
            <w:noWrap/>
          </w:tcPr>
          <w:p w14:paraId="026AB349" w14:textId="77777777" w:rsidR="008423E4" w:rsidRPr="0022177D" w:rsidRDefault="008700CA" w:rsidP="00FB50FD">
            <w:pPr>
              <w:pStyle w:val="Heading1"/>
            </w:pPr>
            <w:bookmarkStart w:id="0" w:name="_GoBack"/>
            <w:bookmarkEnd w:id="0"/>
            <w:r w:rsidRPr="00631897">
              <w:t>BILL ANALYSIS</w:t>
            </w:r>
          </w:p>
        </w:tc>
      </w:tr>
    </w:tbl>
    <w:p w14:paraId="2EFCBDE6" w14:textId="77777777" w:rsidR="008423E4" w:rsidRPr="0022177D" w:rsidRDefault="008423E4" w:rsidP="00FB50FD">
      <w:pPr>
        <w:jc w:val="center"/>
      </w:pPr>
    </w:p>
    <w:p w14:paraId="310DDE99" w14:textId="77777777" w:rsidR="008423E4" w:rsidRPr="00B31F0E" w:rsidRDefault="008423E4" w:rsidP="00FB50FD"/>
    <w:p w14:paraId="7C215657" w14:textId="77777777" w:rsidR="008423E4" w:rsidRPr="00742794" w:rsidRDefault="008423E4" w:rsidP="00FB50FD">
      <w:pPr>
        <w:tabs>
          <w:tab w:val="right" w:pos="9360"/>
        </w:tabs>
      </w:pPr>
    </w:p>
    <w:tbl>
      <w:tblPr>
        <w:tblW w:w="0" w:type="auto"/>
        <w:tblLayout w:type="fixed"/>
        <w:tblLook w:val="01E0" w:firstRow="1" w:lastRow="1" w:firstColumn="1" w:lastColumn="1" w:noHBand="0" w:noVBand="0"/>
      </w:tblPr>
      <w:tblGrid>
        <w:gridCol w:w="9576"/>
      </w:tblGrid>
      <w:tr w:rsidR="001A08D1" w14:paraId="0CB8CC80" w14:textId="77777777" w:rsidTr="00345119">
        <w:tc>
          <w:tcPr>
            <w:tcW w:w="9576" w:type="dxa"/>
          </w:tcPr>
          <w:p w14:paraId="25FA41BE" w14:textId="77777777" w:rsidR="008423E4" w:rsidRPr="00861995" w:rsidRDefault="008700CA" w:rsidP="00FB50FD">
            <w:pPr>
              <w:jc w:val="right"/>
            </w:pPr>
            <w:r>
              <w:t>C.S.H.B. 4442</w:t>
            </w:r>
          </w:p>
        </w:tc>
      </w:tr>
      <w:tr w:rsidR="001A08D1" w14:paraId="512ECE00" w14:textId="77777777" w:rsidTr="00345119">
        <w:tc>
          <w:tcPr>
            <w:tcW w:w="9576" w:type="dxa"/>
          </w:tcPr>
          <w:p w14:paraId="288A0000" w14:textId="77777777" w:rsidR="008423E4" w:rsidRPr="00861995" w:rsidRDefault="008700CA" w:rsidP="00FB50FD">
            <w:pPr>
              <w:jc w:val="right"/>
            </w:pPr>
            <w:r>
              <w:t xml:space="preserve">By: </w:t>
            </w:r>
            <w:r w:rsidR="005D1F5D">
              <w:t>Raymond</w:t>
            </w:r>
          </w:p>
        </w:tc>
      </w:tr>
      <w:tr w:rsidR="001A08D1" w14:paraId="5564F6F5" w14:textId="77777777" w:rsidTr="00345119">
        <w:tc>
          <w:tcPr>
            <w:tcW w:w="9576" w:type="dxa"/>
          </w:tcPr>
          <w:p w14:paraId="0BA1B337" w14:textId="77777777" w:rsidR="008423E4" w:rsidRPr="00861995" w:rsidRDefault="008700CA" w:rsidP="00FB50FD">
            <w:pPr>
              <w:jc w:val="right"/>
            </w:pPr>
            <w:r>
              <w:t>Energy Resources</w:t>
            </w:r>
          </w:p>
        </w:tc>
      </w:tr>
      <w:tr w:rsidR="001A08D1" w14:paraId="7854BBEC" w14:textId="77777777" w:rsidTr="00345119">
        <w:tc>
          <w:tcPr>
            <w:tcW w:w="9576" w:type="dxa"/>
          </w:tcPr>
          <w:p w14:paraId="1D62F4C4" w14:textId="77777777" w:rsidR="008423E4" w:rsidRDefault="008700CA" w:rsidP="00FB50FD">
            <w:pPr>
              <w:jc w:val="right"/>
            </w:pPr>
            <w:r>
              <w:t>Committee Report (Substituted)</w:t>
            </w:r>
          </w:p>
        </w:tc>
      </w:tr>
    </w:tbl>
    <w:p w14:paraId="65BA39D4" w14:textId="77777777" w:rsidR="008423E4" w:rsidRDefault="008423E4" w:rsidP="00FB50FD">
      <w:pPr>
        <w:tabs>
          <w:tab w:val="right" w:pos="9360"/>
        </w:tabs>
      </w:pPr>
    </w:p>
    <w:p w14:paraId="344965D7" w14:textId="77777777" w:rsidR="008423E4" w:rsidRDefault="008423E4" w:rsidP="00FB50FD"/>
    <w:p w14:paraId="7ED4AB30" w14:textId="77777777" w:rsidR="008423E4" w:rsidRDefault="008423E4" w:rsidP="00FB50FD"/>
    <w:tbl>
      <w:tblPr>
        <w:tblW w:w="0" w:type="auto"/>
        <w:tblCellMar>
          <w:left w:w="115" w:type="dxa"/>
          <w:right w:w="115" w:type="dxa"/>
        </w:tblCellMar>
        <w:tblLook w:val="01E0" w:firstRow="1" w:lastRow="1" w:firstColumn="1" w:lastColumn="1" w:noHBand="0" w:noVBand="0"/>
      </w:tblPr>
      <w:tblGrid>
        <w:gridCol w:w="9360"/>
      </w:tblGrid>
      <w:tr w:rsidR="001A08D1" w14:paraId="56A59DFB" w14:textId="77777777" w:rsidTr="00345119">
        <w:tc>
          <w:tcPr>
            <w:tcW w:w="9576" w:type="dxa"/>
          </w:tcPr>
          <w:p w14:paraId="3FB85895" w14:textId="77777777" w:rsidR="008423E4" w:rsidRPr="00A8133F" w:rsidRDefault="008700CA" w:rsidP="00FB50FD">
            <w:pPr>
              <w:rPr>
                <w:b/>
              </w:rPr>
            </w:pPr>
            <w:r w:rsidRPr="009C1E9A">
              <w:rPr>
                <w:b/>
                <w:u w:val="single"/>
              </w:rPr>
              <w:t>BACKGROUND AND PURPOSE</w:t>
            </w:r>
            <w:r>
              <w:rPr>
                <w:b/>
              </w:rPr>
              <w:t xml:space="preserve"> </w:t>
            </w:r>
          </w:p>
          <w:p w14:paraId="1E2B279E" w14:textId="77777777" w:rsidR="008423E4" w:rsidRDefault="008423E4" w:rsidP="00FB50FD"/>
          <w:p w14:paraId="00E7A60D" w14:textId="7DDDCD32" w:rsidR="001302BE" w:rsidRDefault="008700CA" w:rsidP="00FB50FD">
            <w:pPr>
              <w:pStyle w:val="Header"/>
              <w:tabs>
                <w:tab w:val="clear" w:pos="4320"/>
                <w:tab w:val="clear" w:pos="8640"/>
              </w:tabs>
              <w:jc w:val="both"/>
            </w:pPr>
            <w:r>
              <w:t>A combination of economic drivers and technological advancements have resulted in changes to the national energy landscape over the past two decades, including widespread adoption of hydraulic fracturing and directional drilling. These practices have signi</w:t>
            </w:r>
            <w:r>
              <w:t xml:space="preserve">ficantly changed the volume and types of wastes generated during </w:t>
            </w:r>
            <w:r w:rsidR="004A34D2">
              <w:t>a</w:t>
            </w:r>
            <w:r w:rsidR="0081133B">
              <w:t>n oil and gas</w:t>
            </w:r>
            <w:r>
              <w:t xml:space="preserve"> well</w:t>
            </w:r>
            <w:r w:rsidR="004A34D2">
              <w:t>'s</w:t>
            </w:r>
            <w:r>
              <w:t xml:space="preserve"> life cycle. A new federal administration and </w:t>
            </w:r>
            <w:r w:rsidR="00407437">
              <w:t xml:space="preserve">its </w:t>
            </w:r>
            <w:r>
              <w:t xml:space="preserve">appointments at the </w:t>
            </w:r>
            <w:r w:rsidR="004A34D2">
              <w:t>U.</w:t>
            </w:r>
            <w:r w:rsidR="004A34D2" w:rsidRPr="004A34D2">
              <w:t>S</w:t>
            </w:r>
            <w:r w:rsidR="004A34D2">
              <w:t>.</w:t>
            </w:r>
            <w:r w:rsidR="004A34D2" w:rsidRPr="004A34D2">
              <w:t xml:space="preserve"> Environmental Protection Agency (EPA)</w:t>
            </w:r>
            <w:r>
              <w:t xml:space="preserve"> pose a threat to the</w:t>
            </w:r>
            <w:r w:rsidR="004A34D2">
              <w:t xml:space="preserve"> federal</w:t>
            </w:r>
            <w:r>
              <w:t xml:space="preserve"> Resource Conservation and Re</w:t>
            </w:r>
            <w:r>
              <w:t>covery Act exemption for oil and gas waste</w:t>
            </w:r>
            <w:r w:rsidR="004A34D2">
              <w:t xml:space="preserve"> that may have</w:t>
            </w:r>
            <w:r>
              <w:t xml:space="preserve"> a dramatic impact </w:t>
            </w:r>
            <w:r w:rsidR="004A34D2">
              <w:t>on</w:t>
            </w:r>
            <w:r>
              <w:t xml:space="preserve"> the</w:t>
            </w:r>
            <w:r w:rsidR="004A34D2">
              <w:t xml:space="preserve"> state's</w:t>
            </w:r>
            <w:r>
              <w:t xml:space="preserve"> industry and economy.</w:t>
            </w:r>
            <w:r w:rsidR="00D00FA8">
              <w:t xml:space="preserve"> </w:t>
            </w:r>
            <w:r w:rsidRPr="001302BE">
              <w:t xml:space="preserve">Under </w:t>
            </w:r>
            <w:r w:rsidR="004A34D2">
              <w:t>the act</w:t>
            </w:r>
            <w:r w:rsidRPr="001302BE">
              <w:t xml:space="preserve"> both </w:t>
            </w:r>
            <w:r w:rsidR="00407437">
              <w:t xml:space="preserve">the </w:t>
            </w:r>
            <w:r w:rsidRPr="001302BE">
              <w:t>EPA and states are required to periodically review and revise regulations and policy relat</w:t>
            </w:r>
            <w:r w:rsidR="0081133B">
              <w:t>ing</w:t>
            </w:r>
            <w:r w:rsidRPr="001302BE">
              <w:t xml:space="preserve"> to drilling waste managemen</w:t>
            </w:r>
            <w:r w:rsidRPr="001302BE">
              <w:t>t. The last major modifications to state rules relat</w:t>
            </w:r>
            <w:r w:rsidR="0081133B">
              <w:t>ing</w:t>
            </w:r>
            <w:r w:rsidRPr="001302BE">
              <w:t xml:space="preserve"> to drilling waste occurred nearly 30 years ago. If the industry is to continue to thrive in </w:t>
            </w:r>
            <w:r w:rsidR="004A34D2">
              <w:t>Texas</w:t>
            </w:r>
            <w:r w:rsidRPr="001302BE">
              <w:t xml:space="preserve"> with limited federal encroachment, immediate attention to and modernization of drilling waste manageme</w:t>
            </w:r>
            <w:r w:rsidRPr="001302BE">
              <w:t>nt practices is urgently required.</w:t>
            </w:r>
            <w:r w:rsidR="00D00FA8">
              <w:t xml:space="preserve"> </w:t>
            </w:r>
            <w:r w:rsidR="004A34D2">
              <w:t>C.S.H.B</w:t>
            </w:r>
            <w:r w:rsidR="00077CFA">
              <w:t>.</w:t>
            </w:r>
            <w:r w:rsidR="004A34D2">
              <w:t xml:space="preserve"> 4442 seeks to address this issue by revising</w:t>
            </w:r>
            <w:r w:rsidR="00D00FA8">
              <w:t xml:space="preserve"> and setting out</w:t>
            </w:r>
            <w:r w:rsidR="004A34D2">
              <w:t xml:space="preserve"> provisions relating to </w:t>
            </w:r>
            <w:r w:rsidR="004A34D2" w:rsidRPr="004A34D2">
              <w:t>the regulation of oil and gas waste</w:t>
            </w:r>
            <w:r w:rsidR="004A34D2">
              <w:t xml:space="preserve"> in order to </w:t>
            </w:r>
            <w:r w:rsidRPr="001302BE">
              <w:t>codif</w:t>
            </w:r>
            <w:r w:rsidR="004A34D2">
              <w:t>y</w:t>
            </w:r>
            <w:r w:rsidRPr="001302BE">
              <w:t xml:space="preserve"> and modernize drilling waste management</w:t>
            </w:r>
            <w:r w:rsidR="0081133B">
              <w:t>,</w:t>
            </w:r>
            <w:r w:rsidR="00D00FA8">
              <w:t xml:space="preserve"> </w:t>
            </w:r>
            <w:r w:rsidR="00D00FA8" w:rsidRPr="00D00FA8">
              <w:t>enhance transparency</w:t>
            </w:r>
            <w:r w:rsidR="00D00FA8">
              <w:t>,</w:t>
            </w:r>
            <w:r w:rsidRPr="001302BE">
              <w:t xml:space="preserve"> </w:t>
            </w:r>
            <w:r w:rsidR="00D00FA8">
              <w:t>r</w:t>
            </w:r>
            <w:r w:rsidRPr="001302BE">
              <w:t>educ</w:t>
            </w:r>
            <w:r w:rsidR="00D00FA8">
              <w:t>e</w:t>
            </w:r>
            <w:r w:rsidRPr="001302BE">
              <w:t xml:space="preserve"> long-term liability risks</w:t>
            </w:r>
            <w:r w:rsidR="00D00FA8">
              <w:t>, and</w:t>
            </w:r>
            <w:r w:rsidRPr="001302BE">
              <w:t xml:space="preserve"> assert </w:t>
            </w:r>
            <w:r w:rsidR="00D00FA8">
              <w:t>the state's</w:t>
            </w:r>
            <w:r w:rsidRPr="001302BE">
              <w:t xml:space="preserve"> ability to govern waste oversight.</w:t>
            </w:r>
          </w:p>
          <w:p w14:paraId="06D28E31" w14:textId="77777777" w:rsidR="008423E4" w:rsidRPr="00E26B13" w:rsidRDefault="008423E4" w:rsidP="00FB50FD">
            <w:pPr>
              <w:rPr>
                <w:b/>
              </w:rPr>
            </w:pPr>
          </w:p>
        </w:tc>
      </w:tr>
      <w:tr w:rsidR="001A08D1" w14:paraId="6AD0E7D9" w14:textId="77777777" w:rsidTr="00345119">
        <w:tc>
          <w:tcPr>
            <w:tcW w:w="9576" w:type="dxa"/>
          </w:tcPr>
          <w:p w14:paraId="2AAA7828" w14:textId="77777777" w:rsidR="0017725B" w:rsidRDefault="008700CA" w:rsidP="00FB50FD">
            <w:pPr>
              <w:rPr>
                <w:b/>
                <w:u w:val="single"/>
              </w:rPr>
            </w:pPr>
            <w:r>
              <w:rPr>
                <w:b/>
                <w:u w:val="single"/>
              </w:rPr>
              <w:t>CRIMINAL JUSTICE IMPACT</w:t>
            </w:r>
          </w:p>
          <w:p w14:paraId="68D0656E" w14:textId="77777777" w:rsidR="0017725B" w:rsidRDefault="0017725B" w:rsidP="00FB50FD">
            <w:pPr>
              <w:rPr>
                <w:b/>
                <w:u w:val="single"/>
              </w:rPr>
            </w:pPr>
          </w:p>
          <w:p w14:paraId="2864D9F3" w14:textId="220A7587" w:rsidR="004A4CD1" w:rsidRPr="004A4CD1" w:rsidRDefault="008700CA" w:rsidP="00FB50FD">
            <w:pPr>
              <w:jc w:val="both"/>
            </w:pPr>
            <w:r>
              <w:t>It is the committee's opinion that this bill does not expressly create a criminal offense, increase the punishment for an existing criminal off</w:t>
            </w:r>
            <w:r>
              <w:t>ense or category of offenses, or change the eligibility of a person for community supervision, parole, or mandatory supervision.</w:t>
            </w:r>
          </w:p>
          <w:p w14:paraId="522B866D" w14:textId="77777777" w:rsidR="0017725B" w:rsidRPr="0017725B" w:rsidRDefault="0017725B" w:rsidP="00FB50FD">
            <w:pPr>
              <w:rPr>
                <w:b/>
                <w:u w:val="single"/>
              </w:rPr>
            </w:pPr>
          </w:p>
        </w:tc>
      </w:tr>
      <w:tr w:rsidR="001A08D1" w14:paraId="569043C8" w14:textId="77777777" w:rsidTr="00345119">
        <w:tc>
          <w:tcPr>
            <w:tcW w:w="9576" w:type="dxa"/>
          </w:tcPr>
          <w:p w14:paraId="6B5B7161" w14:textId="77777777" w:rsidR="008423E4" w:rsidRPr="00A8133F" w:rsidRDefault="008700CA" w:rsidP="00FB50FD">
            <w:pPr>
              <w:rPr>
                <w:b/>
              </w:rPr>
            </w:pPr>
            <w:r w:rsidRPr="009C1E9A">
              <w:rPr>
                <w:b/>
                <w:u w:val="single"/>
              </w:rPr>
              <w:t>RULEMAKING AUTHORITY</w:t>
            </w:r>
            <w:r>
              <w:rPr>
                <w:b/>
              </w:rPr>
              <w:t xml:space="preserve"> </w:t>
            </w:r>
          </w:p>
          <w:p w14:paraId="2E1998B1" w14:textId="77777777" w:rsidR="008423E4" w:rsidRDefault="008423E4" w:rsidP="00FB50FD"/>
          <w:p w14:paraId="60C028BE" w14:textId="5E781744" w:rsidR="004A4CD1" w:rsidRDefault="008700CA" w:rsidP="00FB50FD">
            <w:pPr>
              <w:pStyle w:val="Header"/>
              <w:tabs>
                <w:tab w:val="clear" w:pos="4320"/>
                <w:tab w:val="clear" w:pos="8640"/>
              </w:tabs>
              <w:jc w:val="both"/>
            </w:pPr>
            <w:r>
              <w:t xml:space="preserve">It is the committee's opinion that rulemaking authority is expressly granted to </w:t>
            </w:r>
            <w:r w:rsidR="00640697">
              <w:t xml:space="preserve">the </w:t>
            </w:r>
            <w:r w:rsidRPr="004A4CD1">
              <w:t>Railroad Commissio</w:t>
            </w:r>
            <w:r w:rsidRPr="004A4CD1">
              <w:t>n of Texas</w:t>
            </w:r>
            <w:r>
              <w:t xml:space="preserve"> in </w:t>
            </w:r>
            <w:r w:rsidRPr="004A4CD1">
              <w:t>SECTION 5</w:t>
            </w:r>
            <w:r>
              <w:t xml:space="preserve"> of this bill.</w:t>
            </w:r>
          </w:p>
          <w:p w14:paraId="4B8F6130" w14:textId="77777777" w:rsidR="008423E4" w:rsidRPr="00E21FDC" w:rsidRDefault="008423E4" w:rsidP="00FB50FD">
            <w:pPr>
              <w:rPr>
                <w:b/>
              </w:rPr>
            </w:pPr>
          </w:p>
        </w:tc>
      </w:tr>
      <w:tr w:rsidR="001A08D1" w14:paraId="189B2584" w14:textId="77777777" w:rsidTr="00345119">
        <w:tc>
          <w:tcPr>
            <w:tcW w:w="9576" w:type="dxa"/>
          </w:tcPr>
          <w:p w14:paraId="77852539" w14:textId="77777777" w:rsidR="008423E4" w:rsidRPr="00A8133F" w:rsidRDefault="008700CA" w:rsidP="00FB50FD">
            <w:pPr>
              <w:rPr>
                <w:b/>
              </w:rPr>
            </w:pPr>
            <w:r w:rsidRPr="009C1E9A">
              <w:rPr>
                <w:b/>
                <w:u w:val="single"/>
              </w:rPr>
              <w:t>ANALYSIS</w:t>
            </w:r>
            <w:r>
              <w:rPr>
                <w:b/>
              </w:rPr>
              <w:t xml:space="preserve"> </w:t>
            </w:r>
          </w:p>
          <w:p w14:paraId="49F1E62E" w14:textId="77777777" w:rsidR="008423E4" w:rsidRDefault="008423E4" w:rsidP="00FB50FD"/>
          <w:p w14:paraId="601850E5" w14:textId="0D952A2B" w:rsidR="00553F9A" w:rsidRDefault="008700CA" w:rsidP="00FB50FD">
            <w:pPr>
              <w:pStyle w:val="Header"/>
              <w:jc w:val="both"/>
            </w:pPr>
            <w:r>
              <w:t>C.S.H.B. 4442 amends the</w:t>
            </w:r>
            <w:r w:rsidRPr="00553F9A">
              <w:t xml:space="preserve"> Natural Resources Code</w:t>
            </w:r>
            <w:r>
              <w:t xml:space="preserve"> </w:t>
            </w:r>
            <w:r w:rsidRPr="00553F9A">
              <w:t xml:space="preserve">to require an applicant </w:t>
            </w:r>
            <w:r>
              <w:t>to</w:t>
            </w:r>
            <w:r w:rsidRPr="00553F9A">
              <w:t xml:space="preserve"> submit </w:t>
            </w:r>
            <w:r w:rsidR="00044C39">
              <w:t xml:space="preserve">to the </w:t>
            </w:r>
            <w:r w:rsidR="00044C39" w:rsidRPr="00044C39">
              <w:t>Railroad Commission of Texas</w:t>
            </w:r>
            <w:r w:rsidR="00044C39">
              <w:t xml:space="preserve"> (RRC) </w:t>
            </w:r>
            <w:r w:rsidRPr="00553F9A">
              <w:t>an additional nonrefundable fee of $200 for a permit to drill, deepen, plug back,</w:t>
            </w:r>
            <w:r w:rsidRPr="00553F9A">
              <w:t xml:space="preserve"> or reenter a well for which the applicant proposes to use a reserve pit located at the well site to dispose of oil and gas waste from the well.</w:t>
            </w:r>
          </w:p>
          <w:p w14:paraId="1FE44765" w14:textId="77777777" w:rsidR="00553F9A" w:rsidRDefault="00553F9A" w:rsidP="00FB50FD">
            <w:pPr>
              <w:pStyle w:val="Header"/>
              <w:jc w:val="both"/>
            </w:pPr>
          </w:p>
          <w:p w14:paraId="1393BE3E" w14:textId="2FF704A6" w:rsidR="00553F9A" w:rsidRDefault="008700CA" w:rsidP="00FB50FD">
            <w:pPr>
              <w:pStyle w:val="Header"/>
              <w:jc w:val="both"/>
            </w:pPr>
            <w:r w:rsidRPr="004D5B02">
              <w:t xml:space="preserve">C.S.H.B. 4442 </w:t>
            </w:r>
            <w:r w:rsidRPr="00553F9A">
              <w:t>revises the RRC oil and gas waste reduction and minimization program that, among other things, e</w:t>
            </w:r>
            <w:r w:rsidRPr="00553F9A">
              <w:t>stablishes incentives for reduction and minimization to specify that the reduction and minimization be through the use of solids control equipment and clo</w:t>
            </w:r>
            <w:r>
              <w:t>sed-loop drilling systems at</w:t>
            </w:r>
            <w:r w:rsidRPr="00553F9A">
              <w:t xml:space="preserve"> well site</w:t>
            </w:r>
            <w:r>
              <w:t>s</w:t>
            </w:r>
            <w:r w:rsidRPr="00553F9A">
              <w:t xml:space="preserve"> and that </w:t>
            </w:r>
            <w:r w:rsidR="008B596D">
              <w:t>the incentives be offered to</w:t>
            </w:r>
            <w:r w:rsidRPr="00553F9A">
              <w:t xml:space="preserve"> well operators.</w:t>
            </w:r>
          </w:p>
          <w:p w14:paraId="25F60E1E" w14:textId="77777777" w:rsidR="008B596D" w:rsidRDefault="008B596D" w:rsidP="00FB50FD">
            <w:pPr>
              <w:pStyle w:val="Header"/>
              <w:jc w:val="both"/>
            </w:pPr>
          </w:p>
          <w:p w14:paraId="2F3938E3" w14:textId="5E52ABCF" w:rsidR="00652531" w:rsidRDefault="008700CA" w:rsidP="00FB50FD">
            <w:pPr>
              <w:pStyle w:val="Header"/>
              <w:jc w:val="both"/>
            </w:pPr>
            <w:r w:rsidRPr="004D5B02">
              <w:t>C.S.H.B</w:t>
            </w:r>
            <w:r w:rsidRPr="004D5B02">
              <w:t xml:space="preserve">. 4442 </w:t>
            </w:r>
            <w:r w:rsidR="00AC0044">
              <w:t xml:space="preserve">establishes that </w:t>
            </w:r>
            <w:r>
              <w:t xml:space="preserve">the </w:t>
            </w:r>
            <w:r w:rsidRPr="00652531">
              <w:t>oil and gas wastes or other substances or materials</w:t>
            </w:r>
            <w:r>
              <w:t xml:space="preserve"> that</w:t>
            </w:r>
            <w:r w:rsidRPr="00652531">
              <w:t xml:space="preserve"> are causing or are likely to cause the pollution of surface or subsurface water</w:t>
            </w:r>
            <w:r>
              <w:t xml:space="preserve"> for which the RRC is conditionally authorized </w:t>
            </w:r>
            <w:r w:rsidR="00AC0044">
              <w:t xml:space="preserve">to </w:t>
            </w:r>
            <w:r w:rsidR="00AC0044" w:rsidRPr="00AC0044">
              <w:t>use money in the oil and gas regulation and cleanup fund to conduct a site investigation or environmental assessment or control</w:t>
            </w:r>
            <w:r w:rsidR="002B7D70">
              <w:t xml:space="preserve"> or clean up </w:t>
            </w:r>
            <w:r>
              <w:t xml:space="preserve">the </w:t>
            </w:r>
            <w:r w:rsidR="00AC0044" w:rsidRPr="00AC0044">
              <w:t>wastes</w:t>
            </w:r>
            <w:r>
              <w:t xml:space="preserve">, </w:t>
            </w:r>
            <w:r w:rsidR="00AC0044" w:rsidRPr="00AC0044">
              <w:t>substances</w:t>
            </w:r>
            <w:r>
              <w:t>,</w:t>
            </w:r>
            <w:r w:rsidR="00AC0044" w:rsidRPr="00AC0044">
              <w:t xml:space="preserve"> or materials</w:t>
            </w:r>
            <w:r>
              <w:t xml:space="preserve"> </w:t>
            </w:r>
            <w:r w:rsidR="00DF38E7" w:rsidRPr="00DF38E7">
              <w:t>includes oil and gas waste or other</w:t>
            </w:r>
            <w:r w:rsidR="00DF38E7">
              <w:t xml:space="preserve"> applicable</w:t>
            </w:r>
            <w:r w:rsidR="00DF38E7" w:rsidRPr="00DF38E7">
              <w:t xml:space="preserve"> substances or materials that are disposed of or stored at a well site using a reserve pit, an aboveground tank, or other means.</w:t>
            </w:r>
          </w:p>
          <w:p w14:paraId="5D74FC79" w14:textId="455E1C02" w:rsidR="00DF38E7" w:rsidRDefault="00DF38E7" w:rsidP="00FB50FD">
            <w:pPr>
              <w:pStyle w:val="Header"/>
              <w:jc w:val="both"/>
            </w:pPr>
          </w:p>
          <w:p w14:paraId="46654A66" w14:textId="44314BD8" w:rsidR="00DF38E7" w:rsidRDefault="008700CA" w:rsidP="00FB50FD">
            <w:pPr>
              <w:pStyle w:val="Header"/>
              <w:jc w:val="both"/>
            </w:pPr>
            <w:r w:rsidRPr="004D5B02">
              <w:t xml:space="preserve">C.S.H.B. 4442 </w:t>
            </w:r>
            <w:r>
              <w:t xml:space="preserve">specifies that </w:t>
            </w:r>
            <w:r w:rsidR="00E118D6">
              <w:t xml:space="preserve">the </w:t>
            </w:r>
            <w:r w:rsidR="00E118D6" w:rsidRPr="00E118D6">
              <w:t>abandoned wells that pose a high risk of contaminating surface water or groundwater</w:t>
            </w:r>
            <w:r w:rsidR="00E118D6">
              <w:t xml:space="preserve"> that the RRC is required to develop a system for identifying include </w:t>
            </w:r>
            <w:r w:rsidR="00E118D6" w:rsidRPr="00E118D6">
              <w:t xml:space="preserve">those </w:t>
            </w:r>
            <w:r w:rsidR="00E118D6">
              <w:t xml:space="preserve">wells </w:t>
            </w:r>
            <w:r w:rsidR="00E118D6" w:rsidRPr="00E118D6">
              <w:t>with reserve pits at the well site</w:t>
            </w:r>
            <w:r w:rsidR="00E118D6">
              <w:t>.</w:t>
            </w:r>
          </w:p>
          <w:p w14:paraId="469A4CDF" w14:textId="30FCCB57" w:rsidR="00E118D6" w:rsidRDefault="00E118D6" w:rsidP="00FB50FD">
            <w:pPr>
              <w:pStyle w:val="Header"/>
              <w:jc w:val="both"/>
            </w:pPr>
          </w:p>
          <w:p w14:paraId="249EDEF2" w14:textId="6E24D2FF" w:rsidR="00856A0E" w:rsidRDefault="008700CA" w:rsidP="00FB50FD">
            <w:pPr>
              <w:pStyle w:val="Header"/>
              <w:jc w:val="both"/>
            </w:pPr>
            <w:r w:rsidRPr="004D5B02">
              <w:t xml:space="preserve">C.S.H.B. 4442 </w:t>
            </w:r>
            <w:r w:rsidR="00E118D6">
              <w:t xml:space="preserve">requires the RRC </w:t>
            </w:r>
            <w:r w:rsidR="00E118D6" w:rsidRPr="00E118D6">
              <w:t xml:space="preserve">by rule </w:t>
            </w:r>
            <w:r w:rsidR="00E118D6">
              <w:t>to</w:t>
            </w:r>
            <w:r w:rsidR="00E118D6" w:rsidRPr="00E118D6">
              <w:t xml:space="preserve"> require the owner or operator of a facility that performs noncommercial surface disposal to file with the county clerk of the county where the disposal occurs a notice of noncommercial surface disposal that includes a legal description of the exact location of the noncommercial surface disposal.</w:t>
            </w:r>
            <w:r w:rsidR="00E118D6">
              <w:t xml:space="preserve"> The bill defines "noncommercial surface disposal" as the disposal of oil field fluids or oil and gas waste at a facility</w:t>
            </w:r>
            <w:r>
              <w:t>:</w:t>
            </w:r>
            <w:r w:rsidR="00E118D6">
              <w:t xml:space="preserve"> </w:t>
            </w:r>
          </w:p>
          <w:p w14:paraId="0ED54E6F" w14:textId="77777777" w:rsidR="00856A0E" w:rsidRDefault="008700CA" w:rsidP="00FB50FD">
            <w:pPr>
              <w:pStyle w:val="Header"/>
              <w:numPr>
                <w:ilvl w:val="0"/>
                <w:numId w:val="1"/>
              </w:numPr>
              <w:jc w:val="both"/>
            </w:pPr>
            <w:r>
              <w:t>for which the di</w:t>
            </w:r>
            <w:r>
              <w:t xml:space="preserve">sposal is not a primary business purpose; or </w:t>
            </w:r>
          </w:p>
          <w:p w14:paraId="0F77BBD7" w14:textId="61121C52" w:rsidR="00E118D6" w:rsidRDefault="008700CA" w:rsidP="00FB50FD">
            <w:pPr>
              <w:pStyle w:val="Header"/>
              <w:numPr>
                <w:ilvl w:val="0"/>
                <w:numId w:val="1"/>
              </w:numPr>
              <w:jc w:val="both"/>
            </w:pPr>
            <w:r>
              <w:t>at which the disposal is performed without compensation.</w:t>
            </w:r>
          </w:p>
          <w:p w14:paraId="3710D875" w14:textId="439A19B8" w:rsidR="00652531" w:rsidRDefault="008700CA" w:rsidP="00FB50FD">
            <w:pPr>
              <w:pStyle w:val="Header"/>
              <w:jc w:val="both"/>
            </w:pPr>
            <w:r>
              <w:t xml:space="preserve"> </w:t>
            </w:r>
          </w:p>
          <w:p w14:paraId="26CEBFCC" w14:textId="5AA80BAF" w:rsidR="00E73C2A" w:rsidRDefault="008700CA" w:rsidP="00FB50FD">
            <w:pPr>
              <w:pStyle w:val="Header"/>
              <w:jc w:val="both"/>
            </w:pPr>
            <w:r w:rsidRPr="004D5B02">
              <w:t xml:space="preserve">C.S.H.B. 4442 </w:t>
            </w:r>
            <w:r w:rsidR="00403963">
              <w:t>includes as a required bookkeeping and recordkeeping item for oil and gas well owners and operators the volume and types of oil and gas waste generated at each well site and the primary method of disposal of the waste, including waste that is managed</w:t>
            </w:r>
            <w:r>
              <w:t xml:space="preserve"> as follows:</w:t>
            </w:r>
            <w:r w:rsidR="00403963">
              <w:t xml:space="preserve"> </w:t>
            </w:r>
          </w:p>
          <w:p w14:paraId="479B3BF8" w14:textId="77777777" w:rsidR="00E73C2A" w:rsidRDefault="008700CA" w:rsidP="00FB50FD">
            <w:pPr>
              <w:pStyle w:val="Header"/>
              <w:numPr>
                <w:ilvl w:val="0"/>
                <w:numId w:val="2"/>
              </w:numPr>
              <w:jc w:val="both"/>
            </w:pPr>
            <w:r>
              <w:t xml:space="preserve">at the well site; </w:t>
            </w:r>
          </w:p>
          <w:p w14:paraId="64E27244" w14:textId="42754360" w:rsidR="00E73C2A" w:rsidRDefault="008700CA" w:rsidP="00FB50FD">
            <w:pPr>
              <w:pStyle w:val="Header"/>
              <w:numPr>
                <w:ilvl w:val="0"/>
                <w:numId w:val="2"/>
              </w:numPr>
              <w:jc w:val="both"/>
            </w:pPr>
            <w:r>
              <w:t xml:space="preserve">by a third-party commercial surface disposal facility; </w:t>
            </w:r>
            <w:r w:rsidR="00407437">
              <w:t>or</w:t>
            </w:r>
          </w:p>
          <w:p w14:paraId="6B885436" w14:textId="13E678B0" w:rsidR="008B596D" w:rsidRDefault="008700CA" w:rsidP="00FB50FD">
            <w:pPr>
              <w:pStyle w:val="Header"/>
              <w:numPr>
                <w:ilvl w:val="0"/>
                <w:numId w:val="2"/>
              </w:numPr>
              <w:jc w:val="both"/>
            </w:pPr>
            <w:r>
              <w:t>by a recycling facility.</w:t>
            </w:r>
          </w:p>
          <w:p w14:paraId="0D9BB875" w14:textId="345A285A" w:rsidR="00E73C2A" w:rsidRDefault="00E73C2A" w:rsidP="00FB50FD">
            <w:pPr>
              <w:pStyle w:val="Header"/>
              <w:jc w:val="both"/>
            </w:pPr>
          </w:p>
          <w:p w14:paraId="22281ABE" w14:textId="7D7269FA" w:rsidR="0057466D" w:rsidRDefault="008700CA" w:rsidP="00FB50FD">
            <w:pPr>
              <w:pStyle w:val="Header"/>
              <w:jc w:val="both"/>
            </w:pPr>
            <w:r>
              <w:t>C.S.H.B</w:t>
            </w:r>
            <w:r w:rsidR="00077CFA">
              <w:t>.</w:t>
            </w:r>
            <w:r>
              <w:t xml:space="preserve"> 4442</w:t>
            </w:r>
            <w:r w:rsidR="00E73C2A" w:rsidRPr="00061DDC">
              <w:t xml:space="preserve"> requires an oil or gas well operator, not later than the 15th business day after the date the RRC issues the operator a permit to drill a new oil or gas well or to reenter a plugged and abandoned oil or gas well, to give the surface owner of the tract of land on which the well is located or is proposed to be located written notice of</w:t>
            </w:r>
            <w:r w:rsidRPr="00061DDC">
              <w:t xml:space="preserve"> whether a reserve pit will be used to permanently dispose of oil and gas waste on the surface owner's property, including the estimated volume and types of waste to be dispose</w:t>
            </w:r>
            <w:r w:rsidRPr="00061DDC">
              <w:t>d of at the well site, if any.</w:t>
            </w:r>
            <w:r w:rsidR="00061DDC">
              <w:t xml:space="preserve"> </w:t>
            </w:r>
            <w:r>
              <w:t xml:space="preserve">The bill </w:t>
            </w:r>
            <w:r w:rsidR="00061DDC">
              <w:t xml:space="preserve">specifies that the agreement entered into by an operator and surface owner </w:t>
            </w:r>
            <w:r w:rsidR="00061DDC" w:rsidRPr="00061DDC">
              <w:t xml:space="preserve">that contains alternative provisions regarding the operator's obligation to give </w:t>
            </w:r>
            <w:r w:rsidR="00061DDC">
              <w:t xml:space="preserve">applicable </w:t>
            </w:r>
            <w:r w:rsidR="00061DDC" w:rsidRPr="00061DDC">
              <w:t>notice of oil and gas operations</w:t>
            </w:r>
            <w:r w:rsidR="00061DDC">
              <w:t xml:space="preserve"> be a written agreement.</w:t>
            </w:r>
          </w:p>
          <w:p w14:paraId="50599AF9" w14:textId="77777777" w:rsidR="008423E4" w:rsidRPr="00835628" w:rsidRDefault="008423E4" w:rsidP="00FB50FD">
            <w:pPr>
              <w:rPr>
                <w:b/>
              </w:rPr>
            </w:pPr>
          </w:p>
        </w:tc>
      </w:tr>
      <w:tr w:rsidR="001A08D1" w14:paraId="5E871D01" w14:textId="77777777" w:rsidTr="00345119">
        <w:tc>
          <w:tcPr>
            <w:tcW w:w="9576" w:type="dxa"/>
          </w:tcPr>
          <w:p w14:paraId="12FAF161" w14:textId="77777777" w:rsidR="008423E4" w:rsidRPr="00A8133F" w:rsidRDefault="008700CA" w:rsidP="00FB50FD">
            <w:pPr>
              <w:rPr>
                <w:b/>
              </w:rPr>
            </w:pPr>
            <w:r w:rsidRPr="009C1E9A">
              <w:rPr>
                <w:b/>
                <w:u w:val="single"/>
              </w:rPr>
              <w:t>EFFECTIVE DATE</w:t>
            </w:r>
            <w:r>
              <w:rPr>
                <w:b/>
              </w:rPr>
              <w:t xml:space="preserve"> </w:t>
            </w:r>
          </w:p>
          <w:p w14:paraId="400AC119" w14:textId="77777777" w:rsidR="008423E4" w:rsidRDefault="008423E4" w:rsidP="00FB50FD"/>
          <w:p w14:paraId="779EB206" w14:textId="543A6FC7" w:rsidR="008423E4" w:rsidRPr="003624F2" w:rsidRDefault="008700CA" w:rsidP="00FB50FD">
            <w:pPr>
              <w:pStyle w:val="Header"/>
              <w:tabs>
                <w:tab w:val="clear" w:pos="4320"/>
                <w:tab w:val="clear" w:pos="8640"/>
              </w:tabs>
              <w:jc w:val="both"/>
            </w:pPr>
            <w:r>
              <w:t>September 1, 2021.</w:t>
            </w:r>
          </w:p>
          <w:p w14:paraId="1E207722" w14:textId="77777777" w:rsidR="008423E4" w:rsidRPr="00233FDB" w:rsidRDefault="008423E4" w:rsidP="00FB50FD">
            <w:pPr>
              <w:rPr>
                <w:b/>
              </w:rPr>
            </w:pPr>
          </w:p>
        </w:tc>
      </w:tr>
      <w:tr w:rsidR="001A08D1" w14:paraId="0D1EB9C4" w14:textId="77777777" w:rsidTr="00345119">
        <w:tc>
          <w:tcPr>
            <w:tcW w:w="9576" w:type="dxa"/>
          </w:tcPr>
          <w:p w14:paraId="00709E69" w14:textId="77777777" w:rsidR="005D1F5D" w:rsidRDefault="008700CA" w:rsidP="00FB50FD">
            <w:pPr>
              <w:jc w:val="both"/>
              <w:rPr>
                <w:b/>
                <w:u w:val="single"/>
              </w:rPr>
            </w:pPr>
            <w:r>
              <w:rPr>
                <w:b/>
                <w:u w:val="single"/>
              </w:rPr>
              <w:t>COMPARISON OF ORIGINAL AND SUBSTITUTE</w:t>
            </w:r>
          </w:p>
          <w:p w14:paraId="71468B17" w14:textId="77777777" w:rsidR="00F3003A" w:rsidRDefault="00F3003A" w:rsidP="00FB50FD">
            <w:pPr>
              <w:jc w:val="both"/>
            </w:pPr>
          </w:p>
          <w:p w14:paraId="17DC5139" w14:textId="35EAFE47" w:rsidR="00F3003A" w:rsidRDefault="008700CA" w:rsidP="00FB50FD">
            <w:pPr>
              <w:jc w:val="both"/>
            </w:pPr>
            <w:r>
              <w:t xml:space="preserve">While C.S.H.B. 4442 may differ from the original in minor or nonsubstantive ways, the following summarizes the substantial differences between the introduced and </w:t>
            </w:r>
            <w:r>
              <w:t>committee substitute versions of the bill.</w:t>
            </w:r>
          </w:p>
          <w:p w14:paraId="1329B9BF" w14:textId="3A7D5645" w:rsidR="00F3003A" w:rsidRDefault="00F3003A" w:rsidP="00FB50FD">
            <w:pPr>
              <w:jc w:val="both"/>
            </w:pPr>
          </w:p>
          <w:p w14:paraId="7563672F" w14:textId="0EA1428C" w:rsidR="00F3003A" w:rsidRDefault="008700CA" w:rsidP="00FB50FD">
            <w:pPr>
              <w:jc w:val="both"/>
            </w:pPr>
            <w:r>
              <w:t xml:space="preserve">The substitute does not include a provision in the original exempting from taxes imposed by </w:t>
            </w:r>
            <w:r w:rsidRPr="00F3003A">
              <w:t>the Limited Sales, Excise, and Use Tax Act</w:t>
            </w:r>
            <w:r>
              <w:t xml:space="preserve"> </w:t>
            </w:r>
            <w:r w:rsidRPr="00F3003A">
              <w:t>tangible personal property or equipment used to process, reuse, or recycle oi</w:t>
            </w:r>
            <w:r w:rsidRPr="00F3003A">
              <w:t>l and gas wastes, including solids control equipment and closed-loop drilling systems</w:t>
            </w:r>
            <w:r>
              <w:t>.</w:t>
            </w:r>
          </w:p>
          <w:p w14:paraId="5B82A9FB" w14:textId="04BF042D" w:rsidR="00F3003A" w:rsidRDefault="00F3003A" w:rsidP="00FB50FD">
            <w:pPr>
              <w:jc w:val="both"/>
            </w:pPr>
          </w:p>
          <w:p w14:paraId="2F0FF183" w14:textId="0BB0A247" w:rsidR="00F3003A" w:rsidRDefault="008700CA" w:rsidP="00FB50FD">
            <w:pPr>
              <w:jc w:val="both"/>
            </w:pPr>
            <w:r>
              <w:t xml:space="preserve">The substitute </w:t>
            </w:r>
            <w:r w:rsidR="00584253">
              <w:t xml:space="preserve">makes a specification not in the original that </w:t>
            </w:r>
            <w:r w:rsidR="00584253" w:rsidRPr="00584253">
              <w:t>the owner or operator of a facility that performs noncommercial surface disposal</w:t>
            </w:r>
            <w:r w:rsidR="00584253">
              <w:t xml:space="preserve"> is the entity </w:t>
            </w:r>
            <w:r w:rsidR="00407437">
              <w:t>required by the RRC by rule</w:t>
            </w:r>
            <w:r w:rsidR="00407437" w:rsidRPr="00584253">
              <w:t xml:space="preserve"> </w:t>
            </w:r>
            <w:r w:rsidR="00407437">
              <w:t xml:space="preserve">to </w:t>
            </w:r>
            <w:r w:rsidR="00584253" w:rsidRPr="00584253">
              <w:t>file a notice of noncommercial surface disposal</w:t>
            </w:r>
            <w:r w:rsidR="00584253">
              <w:t>.</w:t>
            </w:r>
          </w:p>
          <w:p w14:paraId="7B79DCF6" w14:textId="6D79CCAF" w:rsidR="00F3003A" w:rsidRPr="00F3003A" w:rsidRDefault="00F3003A" w:rsidP="00FB50FD">
            <w:pPr>
              <w:jc w:val="both"/>
            </w:pPr>
          </w:p>
        </w:tc>
      </w:tr>
      <w:tr w:rsidR="001A08D1" w14:paraId="3970FFA9" w14:textId="77777777" w:rsidTr="00345119">
        <w:tc>
          <w:tcPr>
            <w:tcW w:w="9576" w:type="dxa"/>
          </w:tcPr>
          <w:p w14:paraId="6EC93E89" w14:textId="77777777" w:rsidR="005D1F5D" w:rsidRPr="009C1E9A" w:rsidRDefault="005D1F5D" w:rsidP="00FB50FD">
            <w:pPr>
              <w:rPr>
                <w:b/>
                <w:u w:val="single"/>
              </w:rPr>
            </w:pPr>
          </w:p>
        </w:tc>
      </w:tr>
      <w:tr w:rsidR="001A08D1" w14:paraId="6A275942" w14:textId="77777777" w:rsidTr="00345119">
        <w:tc>
          <w:tcPr>
            <w:tcW w:w="9576" w:type="dxa"/>
          </w:tcPr>
          <w:p w14:paraId="3F0CD3D5" w14:textId="77777777" w:rsidR="005D1F5D" w:rsidRPr="005D1F5D" w:rsidRDefault="005D1F5D" w:rsidP="00FB50FD">
            <w:pPr>
              <w:jc w:val="both"/>
            </w:pPr>
          </w:p>
        </w:tc>
      </w:tr>
    </w:tbl>
    <w:p w14:paraId="029832BD" w14:textId="77777777" w:rsidR="008423E4" w:rsidRPr="00BE0E75" w:rsidRDefault="008423E4" w:rsidP="00FB50FD">
      <w:pPr>
        <w:jc w:val="both"/>
        <w:rPr>
          <w:rFonts w:ascii="Arial" w:hAnsi="Arial"/>
          <w:sz w:val="16"/>
          <w:szCs w:val="16"/>
        </w:rPr>
      </w:pPr>
    </w:p>
    <w:p w14:paraId="23DF3682" w14:textId="77777777" w:rsidR="004108C3" w:rsidRPr="008423E4" w:rsidRDefault="004108C3" w:rsidP="00FB50F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43819" w14:textId="77777777" w:rsidR="00000000" w:rsidRDefault="008700CA">
      <w:r>
        <w:separator/>
      </w:r>
    </w:p>
  </w:endnote>
  <w:endnote w:type="continuationSeparator" w:id="0">
    <w:p w14:paraId="4281EA0D" w14:textId="77777777" w:rsidR="00000000" w:rsidRDefault="0087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9B179"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1A08D1" w14:paraId="2F652A67" w14:textId="77777777" w:rsidTr="009C1E9A">
      <w:trPr>
        <w:cantSplit/>
      </w:trPr>
      <w:tc>
        <w:tcPr>
          <w:tcW w:w="0" w:type="pct"/>
        </w:tcPr>
        <w:p w14:paraId="16247C27" w14:textId="77777777" w:rsidR="00137D90" w:rsidRDefault="00137D90" w:rsidP="009C1E9A">
          <w:pPr>
            <w:pStyle w:val="Footer"/>
            <w:tabs>
              <w:tab w:val="clear" w:pos="8640"/>
              <w:tab w:val="right" w:pos="9360"/>
            </w:tabs>
          </w:pPr>
        </w:p>
      </w:tc>
      <w:tc>
        <w:tcPr>
          <w:tcW w:w="2395" w:type="pct"/>
        </w:tcPr>
        <w:p w14:paraId="10BB9DF1" w14:textId="77777777" w:rsidR="00137D90" w:rsidRDefault="00137D90" w:rsidP="009C1E9A">
          <w:pPr>
            <w:pStyle w:val="Footer"/>
            <w:tabs>
              <w:tab w:val="clear" w:pos="8640"/>
              <w:tab w:val="right" w:pos="9360"/>
            </w:tabs>
          </w:pPr>
        </w:p>
        <w:p w14:paraId="08A6DBC1" w14:textId="77777777" w:rsidR="001A4310" w:rsidRDefault="001A4310" w:rsidP="009C1E9A">
          <w:pPr>
            <w:pStyle w:val="Footer"/>
            <w:tabs>
              <w:tab w:val="clear" w:pos="8640"/>
              <w:tab w:val="right" w:pos="9360"/>
            </w:tabs>
          </w:pPr>
        </w:p>
        <w:p w14:paraId="04492D3F" w14:textId="77777777" w:rsidR="00137D90" w:rsidRDefault="00137D90" w:rsidP="009C1E9A">
          <w:pPr>
            <w:pStyle w:val="Footer"/>
            <w:tabs>
              <w:tab w:val="clear" w:pos="8640"/>
              <w:tab w:val="right" w:pos="9360"/>
            </w:tabs>
          </w:pPr>
        </w:p>
      </w:tc>
      <w:tc>
        <w:tcPr>
          <w:tcW w:w="2453" w:type="pct"/>
        </w:tcPr>
        <w:p w14:paraId="06596ADC" w14:textId="77777777" w:rsidR="00137D90" w:rsidRDefault="00137D90" w:rsidP="009C1E9A">
          <w:pPr>
            <w:pStyle w:val="Footer"/>
            <w:tabs>
              <w:tab w:val="clear" w:pos="8640"/>
              <w:tab w:val="right" w:pos="9360"/>
            </w:tabs>
            <w:jc w:val="right"/>
          </w:pPr>
        </w:p>
      </w:tc>
    </w:tr>
    <w:tr w:rsidR="001A08D1" w14:paraId="6DD0C235" w14:textId="77777777" w:rsidTr="009C1E9A">
      <w:trPr>
        <w:cantSplit/>
      </w:trPr>
      <w:tc>
        <w:tcPr>
          <w:tcW w:w="0" w:type="pct"/>
        </w:tcPr>
        <w:p w14:paraId="571878E6" w14:textId="77777777" w:rsidR="00EC379B" w:rsidRDefault="00EC379B" w:rsidP="009C1E9A">
          <w:pPr>
            <w:pStyle w:val="Footer"/>
            <w:tabs>
              <w:tab w:val="clear" w:pos="8640"/>
              <w:tab w:val="right" w:pos="9360"/>
            </w:tabs>
          </w:pPr>
        </w:p>
      </w:tc>
      <w:tc>
        <w:tcPr>
          <w:tcW w:w="2395" w:type="pct"/>
        </w:tcPr>
        <w:p w14:paraId="60E2F455" w14:textId="77777777" w:rsidR="00EC379B" w:rsidRPr="009C1E9A" w:rsidRDefault="008700CA" w:rsidP="009C1E9A">
          <w:pPr>
            <w:pStyle w:val="Footer"/>
            <w:tabs>
              <w:tab w:val="clear" w:pos="8640"/>
              <w:tab w:val="right" w:pos="9360"/>
            </w:tabs>
            <w:rPr>
              <w:rFonts w:ascii="Shruti" w:hAnsi="Shruti"/>
              <w:sz w:val="22"/>
            </w:rPr>
          </w:pPr>
          <w:r>
            <w:rPr>
              <w:rFonts w:ascii="Shruti" w:hAnsi="Shruti"/>
              <w:sz w:val="22"/>
            </w:rPr>
            <w:t>87R 21607</w:t>
          </w:r>
        </w:p>
      </w:tc>
      <w:tc>
        <w:tcPr>
          <w:tcW w:w="2453" w:type="pct"/>
        </w:tcPr>
        <w:p w14:paraId="7DC4467A" w14:textId="218B9FAE" w:rsidR="00EC379B" w:rsidRDefault="008700CA" w:rsidP="009C1E9A">
          <w:pPr>
            <w:pStyle w:val="Footer"/>
            <w:tabs>
              <w:tab w:val="clear" w:pos="8640"/>
              <w:tab w:val="right" w:pos="9360"/>
            </w:tabs>
            <w:jc w:val="right"/>
          </w:pPr>
          <w:r>
            <w:fldChar w:fldCharType="begin"/>
          </w:r>
          <w:r>
            <w:instrText xml:space="preserve"> DOCPROPERTY  OTID  \* MERGEFORMAT </w:instrText>
          </w:r>
          <w:r>
            <w:fldChar w:fldCharType="separate"/>
          </w:r>
          <w:r w:rsidR="00BD30ED">
            <w:t>21.113.1575</w:t>
          </w:r>
          <w:r>
            <w:fldChar w:fldCharType="end"/>
          </w:r>
        </w:p>
      </w:tc>
    </w:tr>
    <w:tr w:rsidR="001A08D1" w14:paraId="7937ADEC" w14:textId="77777777" w:rsidTr="009C1E9A">
      <w:trPr>
        <w:cantSplit/>
      </w:trPr>
      <w:tc>
        <w:tcPr>
          <w:tcW w:w="0" w:type="pct"/>
        </w:tcPr>
        <w:p w14:paraId="7CB77040" w14:textId="77777777" w:rsidR="00EC379B" w:rsidRDefault="00EC379B" w:rsidP="009C1E9A">
          <w:pPr>
            <w:pStyle w:val="Footer"/>
            <w:tabs>
              <w:tab w:val="clear" w:pos="4320"/>
              <w:tab w:val="clear" w:pos="8640"/>
              <w:tab w:val="left" w:pos="2865"/>
            </w:tabs>
          </w:pPr>
        </w:p>
      </w:tc>
      <w:tc>
        <w:tcPr>
          <w:tcW w:w="2395" w:type="pct"/>
        </w:tcPr>
        <w:p w14:paraId="245A30FA" w14:textId="77777777" w:rsidR="00EC379B" w:rsidRPr="009C1E9A" w:rsidRDefault="008700CA" w:rsidP="009C1E9A">
          <w:pPr>
            <w:pStyle w:val="Footer"/>
            <w:tabs>
              <w:tab w:val="clear" w:pos="4320"/>
              <w:tab w:val="clear" w:pos="8640"/>
              <w:tab w:val="left" w:pos="2865"/>
            </w:tabs>
            <w:rPr>
              <w:rFonts w:ascii="Shruti" w:hAnsi="Shruti"/>
              <w:sz w:val="22"/>
            </w:rPr>
          </w:pPr>
          <w:r>
            <w:rPr>
              <w:rFonts w:ascii="Shruti" w:hAnsi="Shruti"/>
              <w:sz w:val="22"/>
            </w:rPr>
            <w:t>Substitute Document Number: 87R 19763</w:t>
          </w:r>
        </w:p>
      </w:tc>
      <w:tc>
        <w:tcPr>
          <w:tcW w:w="2453" w:type="pct"/>
        </w:tcPr>
        <w:p w14:paraId="3315A5B0" w14:textId="77777777" w:rsidR="00EC379B" w:rsidRDefault="00EC379B" w:rsidP="006D504F">
          <w:pPr>
            <w:pStyle w:val="Footer"/>
            <w:rPr>
              <w:rStyle w:val="PageNumber"/>
            </w:rPr>
          </w:pPr>
        </w:p>
        <w:p w14:paraId="6082139F" w14:textId="77777777" w:rsidR="00EC379B" w:rsidRDefault="00EC379B" w:rsidP="009C1E9A">
          <w:pPr>
            <w:pStyle w:val="Footer"/>
            <w:tabs>
              <w:tab w:val="clear" w:pos="8640"/>
              <w:tab w:val="right" w:pos="9360"/>
            </w:tabs>
            <w:jc w:val="right"/>
          </w:pPr>
        </w:p>
      </w:tc>
    </w:tr>
    <w:tr w:rsidR="001A08D1" w14:paraId="2E0B5725" w14:textId="77777777" w:rsidTr="009C1E9A">
      <w:trPr>
        <w:cantSplit/>
        <w:trHeight w:val="323"/>
      </w:trPr>
      <w:tc>
        <w:tcPr>
          <w:tcW w:w="0" w:type="pct"/>
          <w:gridSpan w:val="3"/>
        </w:tcPr>
        <w:p w14:paraId="68183DE7" w14:textId="662D77C2" w:rsidR="00EC379B" w:rsidRDefault="008700C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077CFA">
            <w:rPr>
              <w:rStyle w:val="PageNumber"/>
              <w:noProof/>
            </w:rPr>
            <w:t>1</w:t>
          </w:r>
          <w:r>
            <w:rPr>
              <w:rStyle w:val="PageNumber"/>
            </w:rPr>
            <w:fldChar w:fldCharType="end"/>
          </w:r>
        </w:p>
        <w:p w14:paraId="050BBAD6" w14:textId="77777777" w:rsidR="00EC379B" w:rsidRDefault="00EC379B" w:rsidP="009C1E9A">
          <w:pPr>
            <w:pStyle w:val="Footer"/>
            <w:tabs>
              <w:tab w:val="clear" w:pos="8640"/>
              <w:tab w:val="right" w:pos="9360"/>
            </w:tabs>
            <w:jc w:val="center"/>
          </w:pPr>
        </w:p>
      </w:tc>
    </w:tr>
  </w:tbl>
  <w:p w14:paraId="041AF12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290F2"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CC434" w14:textId="77777777" w:rsidR="00000000" w:rsidRDefault="008700CA">
      <w:r>
        <w:separator/>
      </w:r>
    </w:p>
  </w:footnote>
  <w:footnote w:type="continuationSeparator" w:id="0">
    <w:p w14:paraId="5315677E" w14:textId="77777777" w:rsidR="00000000" w:rsidRDefault="00870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746F7"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B542A"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55F7E"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789"/>
    <w:multiLevelType w:val="hybridMultilevel"/>
    <w:tmpl w:val="BF384282"/>
    <w:lvl w:ilvl="0" w:tplc="E25A298A">
      <w:start w:val="1"/>
      <w:numFmt w:val="bullet"/>
      <w:lvlText w:val=""/>
      <w:lvlJc w:val="left"/>
      <w:pPr>
        <w:ind w:left="720" w:hanging="360"/>
      </w:pPr>
      <w:rPr>
        <w:rFonts w:ascii="Symbol" w:hAnsi="Symbol" w:hint="default"/>
      </w:rPr>
    </w:lvl>
    <w:lvl w:ilvl="1" w:tplc="08BC8F00" w:tentative="1">
      <w:start w:val="1"/>
      <w:numFmt w:val="bullet"/>
      <w:lvlText w:val="o"/>
      <w:lvlJc w:val="left"/>
      <w:pPr>
        <w:ind w:left="1440" w:hanging="360"/>
      </w:pPr>
      <w:rPr>
        <w:rFonts w:ascii="Courier New" w:hAnsi="Courier New" w:cs="Courier New" w:hint="default"/>
      </w:rPr>
    </w:lvl>
    <w:lvl w:ilvl="2" w:tplc="5D3E77A8" w:tentative="1">
      <w:start w:val="1"/>
      <w:numFmt w:val="bullet"/>
      <w:lvlText w:val=""/>
      <w:lvlJc w:val="left"/>
      <w:pPr>
        <w:ind w:left="2160" w:hanging="360"/>
      </w:pPr>
      <w:rPr>
        <w:rFonts w:ascii="Wingdings" w:hAnsi="Wingdings" w:hint="default"/>
      </w:rPr>
    </w:lvl>
    <w:lvl w:ilvl="3" w:tplc="C72432F6" w:tentative="1">
      <w:start w:val="1"/>
      <w:numFmt w:val="bullet"/>
      <w:lvlText w:val=""/>
      <w:lvlJc w:val="left"/>
      <w:pPr>
        <w:ind w:left="2880" w:hanging="360"/>
      </w:pPr>
      <w:rPr>
        <w:rFonts w:ascii="Symbol" w:hAnsi="Symbol" w:hint="default"/>
      </w:rPr>
    </w:lvl>
    <w:lvl w:ilvl="4" w:tplc="94A04FEA" w:tentative="1">
      <w:start w:val="1"/>
      <w:numFmt w:val="bullet"/>
      <w:lvlText w:val="o"/>
      <w:lvlJc w:val="left"/>
      <w:pPr>
        <w:ind w:left="3600" w:hanging="360"/>
      </w:pPr>
      <w:rPr>
        <w:rFonts w:ascii="Courier New" w:hAnsi="Courier New" w:cs="Courier New" w:hint="default"/>
      </w:rPr>
    </w:lvl>
    <w:lvl w:ilvl="5" w:tplc="4E3A7BA8" w:tentative="1">
      <w:start w:val="1"/>
      <w:numFmt w:val="bullet"/>
      <w:lvlText w:val=""/>
      <w:lvlJc w:val="left"/>
      <w:pPr>
        <w:ind w:left="4320" w:hanging="360"/>
      </w:pPr>
      <w:rPr>
        <w:rFonts w:ascii="Wingdings" w:hAnsi="Wingdings" w:hint="default"/>
      </w:rPr>
    </w:lvl>
    <w:lvl w:ilvl="6" w:tplc="5860C29E" w:tentative="1">
      <w:start w:val="1"/>
      <w:numFmt w:val="bullet"/>
      <w:lvlText w:val=""/>
      <w:lvlJc w:val="left"/>
      <w:pPr>
        <w:ind w:left="5040" w:hanging="360"/>
      </w:pPr>
      <w:rPr>
        <w:rFonts w:ascii="Symbol" w:hAnsi="Symbol" w:hint="default"/>
      </w:rPr>
    </w:lvl>
    <w:lvl w:ilvl="7" w:tplc="C2EEB910" w:tentative="1">
      <w:start w:val="1"/>
      <w:numFmt w:val="bullet"/>
      <w:lvlText w:val="o"/>
      <w:lvlJc w:val="left"/>
      <w:pPr>
        <w:ind w:left="5760" w:hanging="360"/>
      </w:pPr>
      <w:rPr>
        <w:rFonts w:ascii="Courier New" w:hAnsi="Courier New" w:cs="Courier New" w:hint="default"/>
      </w:rPr>
    </w:lvl>
    <w:lvl w:ilvl="8" w:tplc="152CC0A0" w:tentative="1">
      <w:start w:val="1"/>
      <w:numFmt w:val="bullet"/>
      <w:lvlText w:val=""/>
      <w:lvlJc w:val="left"/>
      <w:pPr>
        <w:ind w:left="6480" w:hanging="360"/>
      </w:pPr>
      <w:rPr>
        <w:rFonts w:ascii="Wingdings" w:hAnsi="Wingdings" w:hint="default"/>
      </w:rPr>
    </w:lvl>
  </w:abstractNum>
  <w:abstractNum w:abstractNumId="1" w15:restartNumberingAfterBreak="0">
    <w:nsid w:val="460A307B"/>
    <w:multiLevelType w:val="hybridMultilevel"/>
    <w:tmpl w:val="34BA5614"/>
    <w:lvl w:ilvl="0" w:tplc="4D08AD72">
      <w:start w:val="1"/>
      <w:numFmt w:val="bullet"/>
      <w:lvlText w:val=""/>
      <w:lvlJc w:val="left"/>
      <w:pPr>
        <w:ind w:left="720" w:hanging="360"/>
      </w:pPr>
      <w:rPr>
        <w:rFonts w:ascii="Symbol" w:hAnsi="Symbol" w:hint="default"/>
      </w:rPr>
    </w:lvl>
    <w:lvl w:ilvl="1" w:tplc="7666CB3E" w:tentative="1">
      <w:start w:val="1"/>
      <w:numFmt w:val="bullet"/>
      <w:lvlText w:val="o"/>
      <w:lvlJc w:val="left"/>
      <w:pPr>
        <w:ind w:left="1440" w:hanging="360"/>
      </w:pPr>
      <w:rPr>
        <w:rFonts w:ascii="Courier New" w:hAnsi="Courier New" w:cs="Courier New" w:hint="default"/>
      </w:rPr>
    </w:lvl>
    <w:lvl w:ilvl="2" w:tplc="8AC4E14C" w:tentative="1">
      <w:start w:val="1"/>
      <w:numFmt w:val="bullet"/>
      <w:lvlText w:val=""/>
      <w:lvlJc w:val="left"/>
      <w:pPr>
        <w:ind w:left="2160" w:hanging="360"/>
      </w:pPr>
      <w:rPr>
        <w:rFonts w:ascii="Wingdings" w:hAnsi="Wingdings" w:hint="default"/>
      </w:rPr>
    </w:lvl>
    <w:lvl w:ilvl="3" w:tplc="E06C4512" w:tentative="1">
      <w:start w:val="1"/>
      <w:numFmt w:val="bullet"/>
      <w:lvlText w:val=""/>
      <w:lvlJc w:val="left"/>
      <w:pPr>
        <w:ind w:left="2880" w:hanging="360"/>
      </w:pPr>
      <w:rPr>
        <w:rFonts w:ascii="Symbol" w:hAnsi="Symbol" w:hint="default"/>
      </w:rPr>
    </w:lvl>
    <w:lvl w:ilvl="4" w:tplc="4F94493A" w:tentative="1">
      <w:start w:val="1"/>
      <w:numFmt w:val="bullet"/>
      <w:lvlText w:val="o"/>
      <w:lvlJc w:val="left"/>
      <w:pPr>
        <w:ind w:left="3600" w:hanging="360"/>
      </w:pPr>
      <w:rPr>
        <w:rFonts w:ascii="Courier New" w:hAnsi="Courier New" w:cs="Courier New" w:hint="default"/>
      </w:rPr>
    </w:lvl>
    <w:lvl w:ilvl="5" w:tplc="BB4CE428" w:tentative="1">
      <w:start w:val="1"/>
      <w:numFmt w:val="bullet"/>
      <w:lvlText w:val=""/>
      <w:lvlJc w:val="left"/>
      <w:pPr>
        <w:ind w:left="4320" w:hanging="360"/>
      </w:pPr>
      <w:rPr>
        <w:rFonts w:ascii="Wingdings" w:hAnsi="Wingdings" w:hint="default"/>
      </w:rPr>
    </w:lvl>
    <w:lvl w:ilvl="6" w:tplc="4F9A52AC" w:tentative="1">
      <w:start w:val="1"/>
      <w:numFmt w:val="bullet"/>
      <w:lvlText w:val=""/>
      <w:lvlJc w:val="left"/>
      <w:pPr>
        <w:ind w:left="5040" w:hanging="360"/>
      </w:pPr>
      <w:rPr>
        <w:rFonts w:ascii="Symbol" w:hAnsi="Symbol" w:hint="default"/>
      </w:rPr>
    </w:lvl>
    <w:lvl w:ilvl="7" w:tplc="FFC4CB6E" w:tentative="1">
      <w:start w:val="1"/>
      <w:numFmt w:val="bullet"/>
      <w:lvlText w:val="o"/>
      <w:lvlJc w:val="left"/>
      <w:pPr>
        <w:ind w:left="5760" w:hanging="360"/>
      </w:pPr>
      <w:rPr>
        <w:rFonts w:ascii="Courier New" w:hAnsi="Courier New" w:cs="Courier New" w:hint="default"/>
      </w:rPr>
    </w:lvl>
    <w:lvl w:ilvl="8" w:tplc="B3AEBD4C"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5D"/>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4C39"/>
    <w:rsid w:val="0004512B"/>
    <w:rsid w:val="000463F0"/>
    <w:rsid w:val="00046BDA"/>
    <w:rsid w:val="0004762E"/>
    <w:rsid w:val="000532BD"/>
    <w:rsid w:val="00055C12"/>
    <w:rsid w:val="000608B0"/>
    <w:rsid w:val="0006104C"/>
    <w:rsid w:val="00061DDC"/>
    <w:rsid w:val="00064BF2"/>
    <w:rsid w:val="000667BA"/>
    <w:rsid w:val="000676A7"/>
    <w:rsid w:val="00073914"/>
    <w:rsid w:val="00074236"/>
    <w:rsid w:val="000746BD"/>
    <w:rsid w:val="00076D7D"/>
    <w:rsid w:val="00077CFA"/>
    <w:rsid w:val="00080D95"/>
    <w:rsid w:val="00090E6B"/>
    <w:rsid w:val="00091B2C"/>
    <w:rsid w:val="00092ABC"/>
    <w:rsid w:val="00097AAF"/>
    <w:rsid w:val="00097D13"/>
    <w:rsid w:val="000A4893"/>
    <w:rsid w:val="000A54E0"/>
    <w:rsid w:val="000A5FF6"/>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02BE"/>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8D1"/>
    <w:rsid w:val="001A0F00"/>
    <w:rsid w:val="001A2BDD"/>
    <w:rsid w:val="001A3DDF"/>
    <w:rsid w:val="001A4310"/>
    <w:rsid w:val="001B053A"/>
    <w:rsid w:val="001B26D8"/>
    <w:rsid w:val="001B3BFA"/>
    <w:rsid w:val="001B75B8"/>
    <w:rsid w:val="001C1230"/>
    <w:rsid w:val="001C1A1F"/>
    <w:rsid w:val="001C60B5"/>
    <w:rsid w:val="001C61B0"/>
    <w:rsid w:val="001C7957"/>
    <w:rsid w:val="001C7DB8"/>
    <w:rsid w:val="001C7EA8"/>
    <w:rsid w:val="001D1711"/>
    <w:rsid w:val="001D23D5"/>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11E1"/>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B7D70"/>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356"/>
    <w:rsid w:val="003C664C"/>
    <w:rsid w:val="003D726D"/>
    <w:rsid w:val="003E0875"/>
    <w:rsid w:val="003E0BB8"/>
    <w:rsid w:val="003E6CB0"/>
    <w:rsid w:val="003F1F5E"/>
    <w:rsid w:val="003F286A"/>
    <w:rsid w:val="003F77F8"/>
    <w:rsid w:val="00400ACD"/>
    <w:rsid w:val="00403963"/>
    <w:rsid w:val="00403B15"/>
    <w:rsid w:val="00403E8A"/>
    <w:rsid w:val="00407437"/>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0955"/>
    <w:rsid w:val="004824A7"/>
    <w:rsid w:val="00483AF0"/>
    <w:rsid w:val="00484167"/>
    <w:rsid w:val="00492211"/>
    <w:rsid w:val="00492325"/>
    <w:rsid w:val="00492A6D"/>
    <w:rsid w:val="00494303"/>
    <w:rsid w:val="0049682B"/>
    <w:rsid w:val="004A03F7"/>
    <w:rsid w:val="004A081C"/>
    <w:rsid w:val="004A123F"/>
    <w:rsid w:val="004A2172"/>
    <w:rsid w:val="004A34D2"/>
    <w:rsid w:val="004A4CD1"/>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5B02"/>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3F9A"/>
    <w:rsid w:val="00555034"/>
    <w:rsid w:val="005570D2"/>
    <w:rsid w:val="0056153F"/>
    <w:rsid w:val="00561B14"/>
    <w:rsid w:val="00562C87"/>
    <w:rsid w:val="005636BD"/>
    <w:rsid w:val="005666D5"/>
    <w:rsid w:val="005669A7"/>
    <w:rsid w:val="00573401"/>
    <w:rsid w:val="005741DF"/>
    <w:rsid w:val="0057466D"/>
    <w:rsid w:val="00576714"/>
    <w:rsid w:val="0057685A"/>
    <w:rsid w:val="00584253"/>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1F5D"/>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697"/>
    <w:rsid w:val="00640CB6"/>
    <w:rsid w:val="00641B42"/>
    <w:rsid w:val="00645750"/>
    <w:rsid w:val="00650692"/>
    <w:rsid w:val="006508D3"/>
    <w:rsid w:val="00650AFA"/>
    <w:rsid w:val="00652531"/>
    <w:rsid w:val="00662B77"/>
    <w:rsid w:val="00662D0E"/>
    <w:rsid w:val="00663265"/>
    <w:rsid w:val="0066345F"/>
    <w:rsid w:val="0066485B"/>
    <w:rsid w:val="0067036E"/>
    <w:rsid w:val="00671693"/>
    <w:rsid w:val="006757AA"/>
    <w:rsid w:val="00676FA6"/>
    <w:rsid w:val="0068127E"/>
    <w:rsid w:val="00681790"/>
    <w:rsid w:val="006823AA"/>
    <w:rsid w:val="00684B98"/>
    <w:rsid w:val="00685DC9"/>
    <w:rsid w:val="00687465"/>
    <w:rsid w:val="006907CF"/>
    <w:rsid w:val="006908CE"/>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4DF9"/>
    <w:rsid w:val="007F5441"/>
    <w:rsid w:val="007F7668"/>
    <w:rsid w:val="00800C63"/>
    <w:rsid w:val="00802243"/>
    <w:rsid w:val="008023D4"/>
    <w:rsid w:val="00805402"/>
    <w:rsid w:val="0080765F"/>
    <w:rsid w:val="0081133B"/>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6A0E"/>
    <w:rsid w:val="0085797D"/>
    <w:rsid w:val="00860020"/>
    <w:rsid w:val="008618E7"/>
    <w:rsid w:val="00861995"/>
    <w:rsid w:val="0086231A"/>
    <w:rsid w:val="0086477C"/>
    <w:rsid w:val="00864BAD"/>
    <w:rsid w:val="00866F9D"/>
    <w:rsid w:val="008673D9"/>
    <w:rsid w:val="008700CA"/>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596D"/>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938"/>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77E9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0044"/>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30ED"/>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088E"/>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0FA8"/>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6E39"/>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38E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18D6"/>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2A"/>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6DA1"/>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003A"/>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4D1C"/>
    <w:rsid w:val="00F85661"/>
    <w:rsid w:val="00F96602"/>
    <w:rsid w:val="00F9735A"/>
    <w:rsid w:val="00FA32FC"/>
    <w:rsid w:val="00FA59FD"/>
    <w:rsid w:val="00FA5D8C"/>
    <w:rsid w:val="00FA6403"/>
    <w:rsid w:val="00FB16CD"/>
    <w:rsid w:val="00FB358F"/>
    <w:rsid w:val="00FB50FD"/>
    <w:rsid w:val="00FB5806"/>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9E06A2-D515-4BA9-BB72-2275EA1E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76E39"/>
    <w:rPr>
      <w:sz w:val="16"/>
      <w:szCs w:val="16"/>
    </w:rPr>
  </w:style>
  <w:style w:type="paragraph" w:styleId="CommentText">
    <w:name w:val="annotation text"/>
    <w:basedOn w:val="Normal"/>
    <w:link w:val="CommentTextChar"/>
    <w:semiHidden/>
    <w:unhideWhenUsed/>
    <w:rsid w:val="00D76E39"/>
    <w:rPr>
      <w:sz w:val="20"/>
      <w:szCs w:val="20"/>
    </w:rPr>
  </w:style>
  <w:style w:type="character" w:customStyle="1" w:styleId="CommentTextChar">
    <w:name w:val="Comment Text Char"/>
    <w:basedOn w:val="DefaultParagraphFont"/>
    <w:link w:val="CommentText"/>
    <w:semiHidden/>
    <w:rsid w:val="00D76E39"/>
  </w:style>
  <w:style w:type="paragraph" w:styleId="CommentSubject">
    <w:name w:val="annotation subject"/>
    <w:basedOn w:val="CommentText"/>
    <w:next w:val="CommentText"/>
    <w:link w:val="CommentSubjectChar"/>
    <w:semiHidden/>
    <w:unhideWhenUsed/>
    <w:rsid w:val="00D76E39"/>
    <w:rPr>
      <w:b/>
      <w:bCs/>
    </w:rPr>
  </w:style>
  <w:style w:type="character" w:customStyle="1" w:styleId="CommentSubjectChar">
    <w:name w:val="Comment Subject Char"/>
    <w:basedOn w:val="CommentTextChar"/>
    <w:link w:val="CommentSubject"/>
    <w:semiHidden/>
    <w:rsid w:val="00D76E39"/>
    <w:rPr>
      <w:b/>
      <w:bCs/>
    </w:rPr>
  </w:style>
  <w:style w:type="character" w:styleId="Hyperlink">
    <w:name w:val="Hyperlink"/>
    <w:basedOn w:val="DefaultParagraphFont"/>
    <w:unhideWhenUsed/>
    <w:rsid w:val="00F3003A"/>
    <w:rPr>
      <w:color w:val="0000FF" w:themeColor="hyperlink"/>
      <w:u w:val="single"/>
    </w:rPr>
  </w:style>
  <w:style w:type="character" w:styleId="FollowedHyperlink">
    <w:name w:val="FollowedHyperlink"/>
    <w:basedOn w:val="DefaultParagraphFont"/>
    <w:semiHidden/>
    <w:unhideWhenUsed/>
    <w:rsid w:val="00A77E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Words>
  <Characters>5050</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BA - HB04442 (Committee Report (Substituted))</vt:lpstr>
    </vt:vector>
  </TitlesOfParts>
  <Company>State of Texas</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21607</dc:subject>
  <dc:creator>State of Texas</dc:creator>
  <dc:description>HB 4442 by Raymond-(H)Energy Resources (Substitute Document Number: 87R 19763)</dc:description>
  <cp:lastModifiedBy>Stacey Nicchio</cp:lastModifiedBy>
  <cp:revision>2</cp:revision>
  <cp:lastPrinted>2003-11-26T17:21:00Z</cp:lastPrinted>
  <dcterms:created xsi:type="dcterms:W3CDTF">2021-04-30T15:33:00Z</dcterms:created>
  <dcterms:modified xsi:type="dcterms:W3CDTF">2021-04-30T15:33:00Z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21.113.1575</vt:lpwstr>
  </property>
</Properties>
</file>